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232C5" w:rsidRDefault="0060777C" w:rsidP="00A232C5">
      <w:pPr>
        <w:sectPr w:rsidR="00A232C5" w:rsidSect="0060777C">
          <w:pgSz w:w="11906" w:h="16838"/>
          <w:pgMar w:top="1852" w:right="1440" w:bottom="1440" w:left="1440" w:header="708" w:footer="708" w:gutter="0"/>
          <w:cols w:space="708"/>
          <w:docGrid w:linePitch="360"/>
        </w:sectPr>
      </w:pPr>
      <w:r>
        <w:rPr>
          <w:b/>
          <w:noProof/>
          <w:sz w:val="28"/>
          <w:u w:val="single"/>
          <w:lang w:eastAsia="en-GB"/>
        </w:rPr>
        <mc:AlternateContent>
          <mc:Choice Requires="wps">
            <w:drawing>
              <wp:anchor distT="0" distB="0" distL="114300" distR="114300" simplePos="0" relativeHeight="251684864" behindDoc="0" locked="0" layoutInCell="1" allowOverlap="1" wp14:anchorId="28A0A6F2" wp14:editId="36314C82">
                <wp:simplePos x="0" y="0"/>
                <wp:positionH relativeFrom="column">
                  <wp:posOffset>-552450</wp:posOffset>
                </wp:positionH>
                <wp:positionV relativeFrom="paragraph">
                  <wp:posOffset>142875</wp:posOffset>
                </wp:positionV>
                <wp:extent cx="6680200" cy="2238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80200"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50F" w:rsidRPr="002D49E8" w:rsidRDefault="002D49E8" w:rsidP="00F90332">
                            <w:pPr>
                              <w:rPr>
                                <w:b/>
                                <w:sz w:val="32"/>
                                <w:szCs w:val="32"/>
                                <w:u w:val="single"/>
                              </w:rPr>
                            </w:pPr>
                            <w:r w:rsidRPr="002D49E8">
                              <w:rPr>
                                <w:b/>
                                <w:sz w:val="32"/>
                                <w:szCs w:val="32"/>
                                <w:u w:val="single"/>
                              </w:rPr>
                              <w:t>Serious injuries to infants and the withdrawal of consent to services</w:t>
                            </w:r>
                            <w:r w:rsidR="006F4CF3" w:rsidRPr="002D49E8">
                              <w:rPr>
                                <w:b/>
                                <w:sz w:val="32"/>
                                <w:szCs w:val="32"/>
                                <w:u w:val="single"/>
                              </w:rPr>
                              <w:t xml:space="preserve"> </w:t>
                            </w:r>
                          </w:p>
                          <w:p w:rsidR="002D49E8" w:rsidRDefault="00B575C4" w:rsidP="0060777C">
                            <w:pPr>
                              <w:spacing w:after="0" w:line="240" w:lineRule="auto"/>
                            </w:pPr>
                            <w:r>
                              <w:t>The DSCP</w:t>
                            </w:r>
                            <w:r w:rsidR="004D2897">
                              <w:t xml:space="preserve"> undertook a Learning Lessons R</w:t>
                            </w:r>
                            <w:r w:rsidR="006F4CF3">
                              <w:t>eview</w:t>
                            </w:r>
                            <w:r w:rsidR="00AC050F" w:rsidRPr="007211F2">
                              <w:t xml:space="preserve"> in rel</w:t>
                            </w:r>
                            <w:r w:rsidR="006F4CF3">
                              <w:t>ation to an infant who is believed to have experienced serious injuries as a consequence of being shaken. The learning from this</w:t>
                            </w:r>
                            <w:r w:rsidR="00AC050F" w:rsidRPr="007211F2">
                              <w:t xml:space="preserve"> review</w:t>
                            </w:r>
                            <w:r w:rsidR="004D2897">
                              <w:t xml:space="preserve"> i</w:t>
                            </w:r>
                            <w:r w:rsidR="00AC050F" w:rsidRPr="007211F2">
                              <w:t>s presented below in the form of a case study.</w:t>
                            </w:r>
                            <w:r w:rsidR="006F4CF3">
                              <w:t xml:space="preserve"> </w:t>
                            </w:r>
                            <w:r w:rsidR="0060777C">
                              <w:t xml:space="preserve"> </w:t>
                            </w:r>
                            <w:r w:rsidR="00AC050F" w:rsidRPr="00A232C5">
                              <w:t>Individual actions have been taken where appropriate by</w:t>
                            </w:r>
                            <w:r>
                              <w:t xml:space="preserve"> the agencies involved. The DSCP</w:t>
                            </w:r>
                            <w:r w:rsidR="00AC050F" w:rsidRPr="00A232C5">
                              <w:t xml:space="preserve"> has identified the wider learning which is relevant to all practice.</w:t>
                            </w:r>
                            <w:r w:rsidR="002D49E8">
                              <w:t xml:space="preserve"> </w:t>
                            </w:r>
                            <w:r w:rsidR="002D49E8">
                              <w:br/>
                            </w:r>
                          </w:p>
                          <w:p w:rsidR="00AC050F" w:rsidRDefault="006F4CF3" w:rsidP="00AC050F">
                            <w:r>
                              <w:t>Jack is a young infant who was liv</w:t>
                            </w:r>
                            <w:bookmarkStart w:id="0" w:name="_GoBack"/>
                            <w:bookmarkEnd w:id="0"/>
                            <w:r>
                              <w:t>ing with his mother and step father at the time the injuries were sustained. There were some risk factors that a review of research indicates are associated with serious injuries to y</w:t>
                            </w:r>
                            <w:r w:rsidR="004D2897">
                              <w:t>oung children. There are also</w:t>
                            </w:r>
                            <w:r>
                              <w:t xml:space="preserve"> a number of risk factors that were not present emphasising the often unpredictable nature of </w:t>
                            </w:r>
                            <w:r w:rsidR="004D2897">
                              <w:t>severe physical abuse. I</w:t>
                            </w:r>
                            <w:r>
                              <w:t xml:space="preserve">dentified risks can be reduced using the good practice guidance outlined below. </w:t>
                            </w:r>
                          </w:p>
                          <w:p w:rsidR="00F90332" w:rsidRDefault="00F9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A0A6F2" id="_x0000_t202" coordsize="21600,21600" o:spt="202" path="m,l,21600r21600,l21600,xe">
                <v:stroke joinstyle="miter"/>
                <v:path gradientshapeok="t" o:connecttype="rect"/>
              </v:shapetype>
              <v:shape id="Text Box 19" o:spid="_x0000_s1026" type="#_x0000_t202" style="position:absolute;margin-left:-43.5pt;margin-top:11.25pt;width:526pt;height:176.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" filled="f" stroked="f" strokeweight=".5pt">
                <v:textbox>
                  <w:txbxContent>
                    <w:p w:rsidR="00AC050F" w:rsidRPr="002D49E8" w:rsidRDefault="002D49E8" w:rsidP="00F90332">
                      <w:pPr>
                        <w:rPr>
                          <w:b/>
                          <w:sz w:val="32"/>
                          <w:szCs w:val="32"/>
                          <w:u w:val="single"/>
                        </w:rPr>
                      </w:pPr>
                      <w:r w:rsidRPr="002D49E8">
                        <w:rPr>
                          <w:b/>
                          <w:sz w:val="32"/>
                          <w:szCs w:val="32"/>
                          <w:u w:val="single"/>
                        </w:rPr>
                        <w:t>Serious injuries to infants and the withdrawal of consent to services</w:t>
                      </w:r>
                      <w:r w:rsidR="006F4CF3" w:rsidRPr="002D49E8">
                        <w:rPr>
                          <w:b/>
                          <w:sz w:val="32"/>
                          <w:szCs w:val="32"/>
                          <w:u w:val="single"/>
                        </w:rPr>
                        <w:t xml:space="preserve"> </w:t>
                      </w:r>
                    </w:p>
                    <w:p w:rsidR="002D49E8" w:rsidRDefault="00B575C4" w:rsidP="0060777C">
                      <w:pPr>
                        <w:spacing w:after="0" w:line="240" w:lineRule="auto"/>
                      </w:pPr>
                      <w:r>
                        <w:t>The DSCP</w:t>
                      </w:r>
                      <w:r w:rsidR="004D2897">
                        <w:t xml:space="preserve"> undertook a Learning Lessons R</w:t>
                      </w:r>
                      <w:r w:rsidR="006F4CF3">
                        <w:t>eview</w:t>
                      </w:r>
                      <w:r w:rsidR="00AC050F" w:rsidRPr="007211F2">
                        <w:t xml:space="preserve"> in rel</w:t>
                      </w:r>
                      <w:r w:rsidR="006F4CF3">
                        <w:t>ation to an infant who is believed to have experienced serious injuries as a consequence of being shaken. The learning from this</w:t>
                      </w:r>
                      <w:r w:rsidR="00AC050F" w:rsidRPr="007211F2">
                        <w:t xml:space="preserve"> review</w:t>
                      </w:r>
                      <w:r w:rsidR="004D2897">
                        <w:t xml:space="preserve"> i</w:t>
                      </w:r>
                      <w:r w:rsidR="00AC050F" w:rsidRPr="007211F2">
                        <w:t>s presented below in the form of a case study.</w:t>
                      </w:r>
                      <w:r w:rsidR="006F4CF3">
                        <w:t xml:space="preserve"> </w:t>
                      </w:r>
                      <w:r w:rsidR="0060777C">
                        <w:t xml:space="preserve"> </w:t>
                      </w:r>
                      <w:r w:rsidR="00AC050F" w:rsidRPr="00A232C5">
                        <w:t>Individual actions have been taken where appropriate by</w:t>
                      </w:r>
                      <w:r>
                        <w:t xml:space="preserve"> the agencies involved. The DSCP</w:t>
                      </w:r>
                      <w:r w:rsidR="00AC050F" w:rsidRPr="00A232C5">
                        <w:t xml:space="preserve"> has identified the wider learning which is relevant to all practice.</w:t>
                      </w:r>
                      <w:r w:rsidR="002D49E8">
                        <w:t xml:space="preserve"> </w:t>
                      </w:r>
                      <w:r w:rsidR="002D49E8">
                        <w:br/>
                      </w:r>
                    </w:p>
                    <w:p w:rsidR="00AC050F" w:rsidRDefault="006F4CF3" w:rsidP="00AC050F">
                      <w:r>
                        <w:t>Jack is a young infant who was liv</w:t>
                      </w:r>
                      <w:bookmarkStart w:id="1" w:name="_GoBack"/>
                      <w:bookmarkEnd w:id="1"/>
                      <w:r>
                        <w:t>ing with his mother and step father at the time the injuries were sustained. There were some risk factors that a review of research indicates are associated with serious injuries to y</w:t>
                      </w:r>
                      <w:r w:rsidR="004D2897">
                        <w:t>oung children. There are also</w:t>
                      </w:r>
                      <w:r>
                        <w:t xml:space="preserve"> a number of risk factors that were not present emphasising the often unpredictable nature of </w:t>
                      </w:r>
                      <w:r w:rsidR="004D2897">
                        <w:t>severe physical abuse. I</w:t>
                      </w:r>
                      <w:r>
                        <w:t xml:space="preserve">dentified risks can be reduced using the good practice guidance outlined below. </w:t>
                      </w:r>
                    </w:p>
                    <w:p w:rsidR="00F90332" w:rsidRDefault="00F90332"/>
                  </w:txbxContent>
                </v:textbox>
              </v:shape>
            </w:pict>
          </mc:Fallback>
        </mc:AlternateContent>
      </w:r>
      <w:r w:rsidR="00B575C4">
        <w:rPr>
          <w:noProof/>
          <w:lang w:eastAsia="en-GB"/>
        </w:rPr>
        <w:drawing>
          <wp:anchor distT="0" distB="0" distL="114300" distR="114300" simplePos="0" relativeHeight="251685888" behindDoc="0" locked="0" layoutInCell="1" allowOverlap="1">
            <wp:simplePos x="0" y="0"/>
            <wp:positionH relativeFrom="margin">
              <wp:posOffset>4291352</wp:posOffset>
            </wp:positionH>
            <wp:positionV relativeFrom="margin">
              <wp:posOffset>-579799</wp:posOffset>
            </wp:positionV>
            <wp:extent cx="2029373" cy="5738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373" cy="573862"/>
                    </a:xfrm>
                    <a:prstGeom prst="rect">
                      <a:avLst/>
                    </a:prstGeom>
                    <a:noFill/>
                  </pic:spPr>
                </pic:pic>
              </a:graphicData>
            </a:graphic>
            <wp14:sizeRelH relativeFrom="margin">
              <wp14:pctWidth>0</wp14:pctWidth>
            </wp14:sizeRelH>
            <wp14:sizeRelV relativeFrom="margin">
              <wp14:pctHeight>0</wp14:pctHeight>
            </wp14:sizeRelV>
          </wp:anchor>
        </w:drawing>
      </w:r>
      <w:r w:rsidR="00B575C4">
        <w:rPr>
          <w:noProof/>
          <w:lang w:eastAsia="en-GB"/>
        </w:rPr>
        <mc:AlternateContent>
          <mc:Choice Requires="wps">
            <w:drawing>
              <wp:anchor distT="0" distB="0" distL="114300" distR="114300" simplePos="0" relativeHeight="251653120" behindDoc="0" locked="0" layoutInCell="1" allowOverlap="1" wp14:anchorId="7872237F" wp14:editId="4DC8BA51">
                <wp:simplePos x="0" y="0"/>
                <wp:positionH relativeFrom="column">
                  <wp:posOffset>-720703</wp:posOffset>
                </wp:positionH>
                <wp:positionV relativeFrom="paragraph">
                  <wp:posOffset>-653415</wp:posOffset>
                </wp:positionV>
                <wp:extent cx="5095875" cy="5702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095875" cy="570230"/>
                        </a:xfrm>
                        <a:prstGeom prst="rect">
                          <a:avLst/>
                        </a:prstGeom>
                        <a:noFill/>
                        <a:ln>
                          <a:noFill/>
                        </a:ln>
                        <a:effectLst/>
                      </wps:spPr>
                      <wps:txbx>
                        <w:txbxContent>
                          <w:p w:rsidR="00A232C5" w:rsidRPr="0073269B" w:rsidRDefault="00B575C4" w:rsidP="00A232C5">
                            <w:pPr>
                              <w:jc w:val="center"/>
                              <w:rPr>
                                <w:b/>
                                <w:sz w:val="72"/>
                                <w:szCs w:val="72"/>
                                <w14:textOutline w14:w="9525" w14:cap="flat" w14:cmpd="sng" w14:algn="ctr">
                                  <w14:noFill/>
                                  <w14:prstDash w14:val="solid"/>
                                  <w14:round/>
                                </w14:textOutline>
                              </w:rPr>
                            </w:pPr>
                            <w:r>
                              <w:rPr>
                                <w:b/>
                                <w:sz w:val="72"/>
                                <w:szCs w:val="72"/>
                                <w14:textOutline w14:w="9525" w14:cap="flat" w14:cmpd="sng" w14:algn="ctr">
                                  <w14:noFill/>
                                  <w14:prstDash w14:val="solid"/>
                                  <w14:round/>
                                </w14:textOutline>
                              </w:rPr>
                              <w:t>DSCP</w:t>
                            </w:r>
                            <w:r w:rsidR="008533F3" w:rsidRPr="0073269B">
                              <w:rPr>
                                <w:b/>
                                <w:sz w:val="72"/>
                                <w:szCs w:val="72"/>
                                <w14:textOutline w14:w="9525" w14:cap="flat" w14:cmpd="sng" w14:algn="ctr">
                                  <w14:noFill/>
                                  <w14:prstDash w14:val="solid"/>
                                  <w14:round/>
                                </w14:textOutline>
                              </w:rPr>
                              <w:t xml:space="preserve"> 2</w:t>
                            </w:r>
                            <w:r w:rsidR="00A232C5" w:rsidRPr="0073269B">
                              <w:rPr>
                                <w:b/>
                                <w:sz w:val="72"/>
                                <w:szCs w:val="72"/>
                                <w14:textOutline w14:w="9525" w14:cap="flat" w14:cmpd="sng" w14:algn="ctr">
                                  <w14:noFill/>
                                  <w14:prstDash w14:val="solid"/>
                                  <w14:round/>
                                </w14:textOutline>
                              </w:rPr>
                              <w:t xml:space="preserve"> minute briefings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237F" id="Text Box 1" o:spid="_x0000_s1027" type="#_x0000_t202" style="position:absolute;margin-left:-56.75pt;margin-top:-51.45pt;width:401.25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" filled="f" stroked="f">
                <v:textbox>
                  <w:txbxContent>
                    <w:p w:rsidR="00A232C5" w:rsidRPr="0073269B" w:rsidRDefault="00B575C4" w:rsidP="00A232C5">
                      <w:pPr>
                        <w:jc w:val="center"/>
                        <w:rPr>
                          <w:b/>
                          <w:sz w:val="72"/>
                          <w:szCs w:val="72"/>
                          <w14:textOutline w14:w="9525" w14:cap="flat" w14:cmpd="sng" w14:algn="ctr">
                            <w14:noFill/>
                            <w14:prstDash w14:val="solid"/>
                            <w14:round/>
                          </w14:textOutline>
                        </w:rPr>
                      </w:pPr>
                      <w:r>
                        <w:rPr>
                          <w:b/>
                          <w:sz w:val="72"/>
                          <w:szCs w:val="72"/>
                          <w14:textOutline w14:w="9525" w14:cap="flat" w14:cmpd="sng" w14:algn="ctr">
                            <w14:noFill/>
                            <w14:prstDash w14:val="solid"/>
                            <w14:round/>
                          </w14:textOutline>
                        </w:rPr>
                        <w:t>DSCP</w:t>
                      </w:r>
                      <w:r w:rsidR="008533F3" w:rsidRPr="0073269B">
                        <w:rPr>
                          <w:b/>
                          <w:sz w:val="72"/>
                          <w:szCs w:val="72"/>
                          <w14:textOutline w14:w="9525" w14:cap="flat" w14:cmpd="sng" w14:algn="ctr">
                            <w14:noFill/>
                            <w14:prstDash w14:val="solid"/>
                            <w14:round/>
                          </w14:textOutline>
                        </w:rPr>
                        <w:t xml:space="preserve"> 2</w:t>
                      </w:r>
                      <w:r w:rsidR="00A232C5" w:rsidRPr="0073269B">
                        <w:rPr>
                          <w:b/>
                          <w:sz w:val="72"/>
                          <w:szCs w:val="72"/>
                          <w14:textOutline w14:w="9525" w14:cap="flat" w14:cmpd="sng" w14:algn="ctr">
                            <w14:noFill/>
                            <w14:prstDash w14:val="solid"/>
                            <w14:round/>
                          </w14:textOutline>
                        </w:rPr>
                        <w:t xml:space="preserve"> minute briefings</w:t>
                      </w:r>
                    </w:p>
                  </w:txbxContent>
                </v:textbox>
              </v:shape>
            </w:pict>
          </mc:Fallback>
        </mc:AlternateContent>
      </w:r>
    </w:p>
    <w:p w:rsidR="00DC0564" w:rsidRDefault="00DC0564"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17410D" w:rsidRDefault="0017410D" w:rsidP="0089414B">
      <w:pPr>
        <w:spacing w:after="0"/>
        <w:rPr>
          <w:szCs w:val="24"/>
        </w:rPr>
      </w:pPr>
    </w:p>
    <w:p w:rsidR="0017410D" w:rsidRDefault="0017410D"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B575C4" w:rsidP="0089414B">
      <w:pPr>
        <w:spacing w:after="0"/>
        <w:rPr>
          <w:szCs w:val="24"/>
        </w:rPr>
      </w:pPr>
      <w:r>
        <w:rPr>
          <w:noProof/>
          <w:lang w:eastAsia="en-GB"/>
        </w:rPr>
        <mc:AlternateContent>
          <mc:Choice Requires="wpg">
            <w:drawing>
              <wp:anchor distT="0" distB="0" distL="114300" distR="114300" simplePos="0" relativeHeight="251683840" behindDoc="0" locked="0" layoutInCell="1" allowOverlap="1" wp14:anchorId="799D2EB1" wp14:editId="1E152D85">
                <wp:simplePos x="0" y="0"/>
                <wp:positionH relativeFrom="column">
                  <wp:posOffset>-552450</wp:posOffset>
                </wp:positionH>
                <wp:positionV relativeFrom="paragraph">
                  <wp:posOffset>240030</wp:posOffset>
                </wp:positionV>
                <wp:extent cx="6605271" cy="6276976"/>
                <wp:effectExtent l="0" t="0" r="5080" b="9525"/>
                <wp:wrapNone/>
                <wp:docPr id="18" name="Group 18"/>
                <wp:cNvGraphicFramePr/>
                <a:graphic xmlns:a="http://schemas.openxmlformats.org/drawingml/2006/main">
                  <a:graphicData uri="http://schemas.microsoft.com/office/word/2010/wordprocessingGroup">
                    <wpg:wgp>
                      <wpg:cNvGrpSpPr/>
                      <wpg:grpSpPr>
                        <a:xfrm>
                          <a:off x="0" y="0"/>
                          <a:ext cx="6605271" cy="6276976"/>
                          <a:chOff x="64925" y="-334145"/>
                          <a:chExt cx="5234245" cy="5003199"/>
                        </a:xfrm>
                      </wpg:grpSpPr>
                      <wpg:grpSp>
                        <wpg:cNvPr id="16" name="Group 16"/>
                        <wpg:cNvGrpSpPr/>
                        <wpg:grpSpPr>
                          <a:xfrm>
                            <a:off x="64925" y="3252885"/>
                            <a:ext cx="5234244" cy="1416169"/>
                            <a:chOff x="75740" y="-694220"/>
                            <a:chExt cx="3246950" cy="1765023"/>
                          </a:xfrm>
                        </wpg:grpSpPr>
                        <wps:wsp>
                          <wps:cNvPr id="11" name="Text Box 2"/>
                          <wps:cNvSpPr txBox="1">
                            <a:spLocks noChangeArrowheads="1"/>
                          </wps:cNvSpPr>
                          <wps:spPr bwMode="auto">
                            <a:xfrm>
                              <a:off x="75740" y="-694220"/>
                              <a:ext cx="3246950" cy="701893"/>
                            </a:xfrm>
                            <a:prstGeom prst="rect">
                              <a:avLst/>
                            </a:prstGeom>
                            <a:solidFill>
                              <a:srgbClr val="FFCF37"/>
                            </a:solidFill>
                            <a:ln w="9525">
                              <a:noFill/>
                              <a:miter lim="800000"/>
                              <a:headEnd/>
                              <a:tailEnd/>
                            </a:ln>
                          </wps:spPr>
                          <wps:txbx>
                            <w:txbxContent>
                              <w:p w:rsidR="00337BFE" w:rsidRPr="00337BFE" w:rsidRDefault="00337BFE" w:rsidP="00337BFE">
                                <w:pPr>
                                  <w:spacing w:line="240" w:lineRule="auto"/>
                                  <w:rPr>
                                    <w:sz w:val="24"/>
                                    <w:szCs w:val="24"/>
                                  </w:rPr>
                                </w:pPr>
                                <w:r>
                                  <w:t>What it told us……</w:t>
                                </w:r>
                                <w:r w:rsidR="004D2897">
                                  <w:t>.During the course of the review a professional stated that she was unhappy with the decision to clo</w:t>
                                </w:r>
                                <w:r w:rsidR="0060777C">
                                  <w:t>se the case and challenged the S</w:t>
                                </w:r>
                                <w:r w:rsidR="004D2897">
                                  <w:t xml:space="preserve">ocial </w:t>
                                </w:r>
                                <w:r w:rsidR="0060777C">
                                  <w:t>W</w:t>
                                </w:r>
                                <w:r w:rsidR="004D2897">
                                  <w:t xml:space="preserve">orker regarding this. No </w:t>
                                </w:r>
                                <w:r w:rsidR="00B5488C">
                                  <w:t>record was made of this conversation nor was</w:t>
                                </w:r>
                                <w:r w:rsidR="004D2897">
                                  <w:t xml:space="preserve"> the </w:t>
                                </w:r>
                                <w:r w:rsidR="002D49E8">
                                  <w:t>concern</w:t>
                                </w:r>
                                <w:r w:rsidR="004D2897">
                                  <w:t xml:space="preserve"> escalated to senior managers.</w:t>
                                </w:r>
                              </w:p>
                              <w:p w:rsidR="00337BFE" w:rsidRPr="007822C6" w:rsidRDefault="00337BFE" w:rsidP="00337BFE">
                                <w:pPr>
                                  <w:pStyle w:val="ListParagraph"/>
                                  <w:rPr>
                                    <w:sz w:val="24"/>
                                    <w:szCs w:val="24"/>
                                  </w:rPr>
                                </w:pPr>
                              </w:p>
                              <w:p w:rsidR="004E1A80" w:rsidRDefault="004E1A80" w:rsidP="00161ADA"/>
                            </w:txbxContent>
                          </wps:txbx>
                          <wps:bodyPr rot="0" vert="horz" wrap="square" lIns="91440" tIns="45720" rIns="91440" bIns="45720" anchor="t" anchorCtr="0">
                            <a:noAutofit/>
                          </wps:bodyPr>
                        </wps:wsp>
                        <wps:wsp>
                          <wps:cNvPr id="9" name="Text Box 2"/>
                          <wps:cNvSpPr txBox="1">
                            <a:spLocks noChangeArrowheads="1"/>
                          </wps:cNvSpPr>
                          <wps:spPr bwMode="auto">
                            <a:xfrm>
                              <a:off x="75740" y="300838"/>
                              <a:ext cx="3245079" cy="769965"/>
                            </a:xfrm>
                            <a:prstGeom prst="rect">
                              <a:avLst/>
                            </a:prstGeom>
                            <a:solidFill>
                              <a:srgbClr val="82C836"/>
                            </a:solidFill>
                            <a:ln w="9525">
                              <a:noFill/>
                              <a:miter lim="800000"/>
                              <a:headEnd/>
                              <a:tailEnd/>
                            </a:ln>
                          </wps:spPr>
                          <wps:txbx>
                            <w:txbxContent>
                              <w:p w:rsidR="004E1A80" w:rsidRDefault="00161ADA" w:rsidP="0060777C">
                                <w:pPr>
                                  <w:spacing w:after="0" w:line="240" w:lineRule="auto"/>
                                </w:pPr>
                                <w:r>
                                  <w:t>What we all need to do now…</w:t>
                                </w:r>
                                <w:r w:rsidR="004D2897">
                                  <w:t>..</w:t>
                                </w:r>
                                <w:r w:rsidR="00B575C4">
                                  <w:t>The DSCP</w:t>
                                </w:r>
                                <w:r w:rsidR="002D49E8">
                                  <w:t xml:space="preserve"> has a clear escalation process for resolving professional differences. The full procedure can be accessed via the following link </w:t>
                                </w:r>
                                <w:hyperlink r:id="rId8" w:history="1">
                                  <w:r w:rsidR="002D49E8" w:rsidRPr="0060777C">
                                    <w:rPr>
                                      <w:rStyle w:val="Hyperlink"/>
                                    </w:rPr>
                                    <w:t>http://doncasterscb.proced</w:t>
                                  </w:r>
                                  <w:r w:rsidR="002D49E8" w:rsidRPr="0060777C">
                                    <w:rPr>
                                      <w:rStyle w:val="Hyperlink"/>
                                    </w:rPr>
                                    <w:t>u</w:t>
                                  </w:r>
                                  <w:r w:rsidR="002D49E8" w:rsidRPr="0060777C">
                                    <w:rPr>
                                      <w:rStyle w:val="Hyperlink"/>
                                    </w:rPr>
                                    <w:t>resonline.com/chapters/p_resolving_prof_diff.html</w:t>
                                  </w:r>
                                </w:hyperlink>
                              </w:p>
                            </w:txbxContent>
                          </wps:txbx>
                          <wps:bodyPr rot="0" vert="horz" wrap="square" lIns="91440" tIns="45720" rIns="91440" bIns="45720" anchor="t" anchorCtr="0">
                            <a:noAutofit/>
                          </wps:bodyPr>
                        </wps:wsp>
                      </wpg:grpSp>
                      <wpg:grpSp>
                        <wpg:cNvPr id="14" name="Group 14"/>
                        <wpg:cNvGrpSpPr/>
                        <wpg:grpSpPr>
                          <a:xfrm>
                            <a:off x="64926" y="-334145"/>
                            <a:ext cx="5234244" cy="1209807"/>
                            <a:chOff x="39737" y="-334145"/>
                            <a:chExt cx="4820063" cy="1209807"/>
                          </a:xfrm>
                        </wpg:grpSpPr>
                        <wps:wsp>
                          <wps:cNvPr id="12" name="Text Box 2"/>
                          <wps:cNvSpPr txBox="1">
                            <a:spLocks noChangeArrowheads="1"/>
                          </wps:cNvSpPr>
                          <wps:spPr bwMode="auto">
                            <a:xfrm>
                              <a:off x="42511" y="-334145"/>
                              <a:ext cx="4817288" cy="494921"/>
                            </a:xfrm>
                            <a:prstGeom prst="rect">
                              <a:avLst/>
                            </a:prstGeom>
                            <a:solidFill>
                              <a:srgbClr val="FFCF37"/>
                            </a:solidFill>
                            <a:ln w="9525">
                              <a:noFill/>
                              <a:miter lim="800000"/>
                              <a:headEnd/>
                              <a:tailEnd/>
                            </a:ln>
                          </wps:spPr>
                          <wps:txbx>
                            <w:txbxContent>
                              <w:p w:rsidR="00AC050F" w:rsidRDefault="00161ADA" w:rsidP="0060777C">
                                <w:pPr>
                                  <w:spacing w:after="0" w:line="240" w:lineRule="auto"/>
                                </w:pPr>
                                <w:r>
                                  <w:t>What it told us…</w:t>
                                </w:r>
                                <w:r w:rsidR="00542998">
                                  <w:t>…………</w:t>
                                </w:r>
                                <w:r w:rsidR="00FD67E9">
                                  <w:t>Jack was subject to a Children and Families assessment as a Child in Need. The assessment focussed on the most obvious concern regarding mother’s parenting capacity and failed to explore other areas of concern.</w:t>
                                </w:r>
                              </w:p>
                              <w:p w:rsidR="004E1A80" w:rsidRDefault="004E1A80" w:rsidP="0060777C">
                                <w:pPr>
                                  <w:spacing w:after="0" w:line="240" w:lineRule="auto"/>
                                  <w:jc w:val="both"/>
                                </w:pPr>
                              </w:p>
                            </w:txbxContent>
                          </wps:txbx>
                          <wps:bodyPr rot="0" vert="horz" wrap="square" lIns="91440" tIns="45720" rIns="91440" bIns="45720" anchor="t" anchorCtr="0">
                            <a:noAutofit/>
                          </wps:bodyPr>
                        </wps:wsp>
                        <wps:wsp>
                          <wps:cNvPr id="7" name="Text Box 2"/>
                          <wps:cNvSpPr txBox="1">
                            <a:spLocks noChangeArrowheads="1"/>
                          </wps:cNvSpPr>
                          <wps:spPr bwMode="auto">
                            <a:xfrm>
                              <a:off x="39737" y="343121"/>
                              <a:ext cx="4820063" cy="532541"/>
                            </a:xfrm>
                            <a:prstGeom prst="rect">
                              <a:avLst/>
                            </a:prstGeom>
                            <a:solidFill>
                              <a:srgbClr val="82C836"/>
                            </a:solidFill>
                            <a:ln w="9525">
                              <a:noFill/>
                              <a:miter lim="800000"/>
                              <a:headEnd/>
                              <a:tailEnd/>
                            </a:ln>
                          </wps:spPr>
                          <wps:txbx>
                            <w:txbxContent>
                              <w:p w:rsidR="00AC050F" w:rsidRDefault="00542998" w:rsidP="0060777C">
                                <w:pPr>
                                  <w:spacing w:after="0" w:line="240" w:lineRule="auto"/>
                                </w:pPr>
                                <w:r>
                                  <w:t>What we all need to do now…………..Assessments need to be holistic and consider all aspects of a child’s life including the factors that impact on parenting capacity. Both strengths and risk factors need to be considered and balanced to form an analysis of the child’s circumstances.</w:t>
                                </w:r>
                              </w:p>
                              <w:p w:rsidR="004E1A80" w:rsidRDefault="004E1A80" w:rsidP="0060777C">
                                <w:pPr>
                                  <w:spacing w:after="0" w:line="240" w:lineRule="auto"/>
                                </w:pPr>
                              </w:p>
                            </w:txbxContent>
                          </wps:txbx>
                          <wps:bodyPr rot="0" vert="horz" wrap="square" lIns="91440" tIns="45720" rIns="91440" bIns="45720" anchor="t" anchorCtr="0">
                            <a:noAutofit/>
                          </wps:bodyPr>
                        </wps:wsp>
                      </wpg:grpSp>
                      <wpg:grpSp>
                        <wpg:cNvPr id="17" name="Group 17"/>
                        <wpg:cNvGrpSpPr/>
                        <wpg:grpSpPr>
                          <a:xfrm>
                            <a:off x="64925" y="1135909"/>
                            <a:ext cx="5234245" cy="1885657"/>
                            <a:chOff x="-4517960" y="-2012844"/>
                            <a:chExt cx="5234942" cy="1889291"/>
                          </a:xfrm>
                        </wpg:grpSpPr>
                        <wps:wsp>
                          <wps:cNvPr id="13" name="Text Box 2"/>
                          <wps:cNvSpPr txBox="1">
                            <a:spLocks noChangeArrowheads="1"/>
                          </wps:cNvSpPr>
                          <wps:spPr bwMode="auto">
                            <a:xfrm>
                              <a:off x="-4517960" y="-2012844"/>
                              <a:ext cx="5231924" cy="710248"/>
                            </a:xfrm>
                            <a:prstGeom prst="rect">
                              <a:avLst/>
                            </a:prstGeom>
                            <a:solidFill>
                              <a:srgbClr val="FFCF37"/>
                            </a:solidFill>
                            <a:ln w="9525">
                              <a:noFill/>
                              <a:miter lim="800000"/>
                              <a:headEnd/>
                              <a:tailEnd/>
                            </a:ln>
                          </wps:spPr>
                          <wps:txbx>
                            <w:txbxContent>
                              <w:p w:rsidR="00337BFE" w:rsidRPr="00B575C4" w:rsidRDefault="00125270" w:rsidP="0060777C">
                                <w:pPr>
                                  <w:spacing w:after="0" w:line="240" w:lineRule="auto"/>
                                  <w:rPr>
                                    <w:sz w:val="24"/>
                                    <w:szCs w:val="24"/>
                                  </w:rPr>
                                </w:pPr>
                                <w:r>
                                  <w:t>What it told us…</w:t>
                                </w:r>
                                <w:r w:rsidR="00337BFE">
                                  <w:t>…………</w:t>
                                </w:r>
                                <w:r w:rsidR="00337BFE" w:rsidRPr="00337BFE">
                                  <w:rPr>
                                    <w:sz w:val="24"/>
                                    <w:szCs w:val="24"/>
                                  </w:rPr>
                                  <w:t xml:space="preserve"> </w:t>
                                </w:r>
                                <w:r w:rsidR="00337BFE">
                                  <w:rPr>
                                    <w:sz w:val="24"/>
                                    <w:szCs w:val="24"/>
                                  </w:rPr>
                                  <w:t xml:space="preserve">The case was closed without convening a strategy meeting. The rationale was that the family as required support under Section 17(10) of the Children Act ’89 but the family chose to decline the service which they were entitled to do given that engagement with CIN planning requires consent. However this assessment was based on incomplete information. </w:t>
                                </w:r>
                              </w:p>
                              <w:p w:rsidR="00AC050F" w:rsidRDefault="00AC050F" w:rsidP="0060777C">
                                <w:pPr>
                                  <w:spacing w:after="0" w:line="240" w:lineRule="auto"/>
                                </w:pPr>
                              </w:p>
                              <w:p w:rsidR="00125270" w:rsidRDefault="00125270" w:rsidP="0060777C">
                                <w:pPr>
                                  <w:spacing w:after="0" w:line="240" w:lineRule="auto"/>
                                </w:pPr>
                                <w:r w:rsidRPr="009D06E3">
                                  <w:t>.</w:t>
                                </w:r>
                              </w:p>
                            </w:txbxContent>
                          </wps:txbx>
                          <wps:bodyPr rot="0" vert="horz" wrap="square" lIns="91440" tIns="45720" rIns="91440" bIns="45720" anchor="t" anchorCtr="0">
                            <a:noAutofit/>
                          </wps:bodyPr>
                        </wps:wsp>
                        <wps:wsp>
                          <wps:cNvPr id="8" name="Text Box 2"/>
                          <wps:cNvSpPr txBox="1">
                            <a:spLocks noChangeArrowheads="1"/>
                          </wps:cNvSpPr>
                          <wps:spPr bwMode="auto">
                            <a:xfrm>
                              <a:off x="-4514944" y="-1049604"/>
                              <a:ext cx="5231926" cy="926051"/>
                            </a:xfrm>
                            <a:prstGeom prst="rect">
                              <a:avLst/>
                            </a:prstGeom>
                            <a:solidFill>
                              <a:srgbClr val="82C836"/>
                            </a:solidFill>
                            <a:ln w="9525">
                              <a:noFill/>
                              <a:miter lim="800000"/>
                              <a:headEnd/>
                              <a:tailEnd/>
                            </a:ln>
                          </wps:spPr>
                          <wps:txbx>
                            <w:txbxContent>
                              <w:p w:rsidR="00125270" w:rsidRDefault="00125270" w:rsidP="0060777C">
                                <w:pPr>
                                  <w:spacing w:after="0" w:line="240" w:lineRule="auto"/>
                                </w:pPr>
                                <w:r>
                                  <w:t>What we all need to do now…</w:t>
                                </w:r>
                                <w:r w:rsidR="00337BFE">
                                  <w:t>……..</w:t>
                                </w:r>
                                <w:r w:rsidR="00337BFE" w:rsidRPr="00337BFE">
                                  <w:rPr>
                                    <w:sz w:val="24"/>
                                    <w:szCs w:val="24"/>
                                  </w:rPr>
                                  <w:t xml:space="preserve"> </w:t>
                                </w:r>
                                <w:r w:rsidR="004D2897">
                                  <w:rPr>
                                    <w:sz w:val="24"/>
                                    <w:szCs w:val="24"/>
                                  </w:rPr>
                                  <w:t>W</w:t>
                                </w:r>
                                <w:r w:rsidR="00A84EA1">
                                  <w:rPr>
                                    <w:sz w:val="24"/>
                                    <w:szCs w:val="24"/>
                                  </w:rPr>
                                  <w:t xml:space="preserve">here risk factors have not been sufficiently explored or information remains unknown a multi-agency strategy meeting should be convened to consider whether closing the case is the correct decision. Withdrawal of consent </w:t>
                                </w:r>
                                <w:r w:rsidR="004D2897">
                                  <w:rPr>
                                    <w:sz w:val="24"/>
                                    <w:szCs w:val="24"/>
                                  </w:rPr>
                                  <w:t xml:space="preserve">alongside unknown risk factors </w:t>
                                </w:r>
                                <w:r w:rsidR="00A84EA1">
                                  <w:rPr>
                                    <w:sz w:val="24"/>
                                    <w:szCs w:val="24"/>
                                  </w:rPr>
                                  <w:t>may give “reasonable cause to suspect that the child is suffering</w:t>
                                </w:r>
                                <w:r w:rsidR="002D49E8">
                                  <w:rPr>
                                    <w:sz w:val="24"/>
                                    <w:szCs w:val="24"/>
                                  </w:rPr>
                                  <w:t xml:space="preserve"> </w:t>
                                </w:r>
                                <w:r w:rsidR="00A84EA1">
                                  <w:rPr>
                                    <w:sz w:val="24"/>
                                    <w:szCs w:val="24"/>
                                  </w:rPr>
                                  <w:t>significant harm</w:t>
                                </w:r>
                                <w:r w:rsidR="004D2897">
                                  <w:rPr>
                                    <w:sz w:val="24"/>
                                    <w:szCs w:val="24"/>
                                  </w:rPr>
                                  <w:t>” under Section 47 of the Children Act. Child protection enquiries can continue without parental consent.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99D2EB1" id="Group 18" o:spid="_x0000_s1028" style="position:absolute;margin-left:-43.5pt;margin-top:18.9pt;width:520.1pt;height:494.25pt;z-index:251683840;mso-width-relative:margin;mso-height-relative:margin" coordorigin="649,-3341" coordsize="52342,5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">
                <v:group id="Group 16" o:spid="_x0000_s1029" style="position:absolute;left:649;top:32528;width:52342;height:14162" coordorigin="757,-6942" coordsize="32469,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0" type="#_x0000_t202" style="position:absolute;left:757;top:-6942;width:32469;height: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" fillcolor="#ffcf37" stroked="f">
                    <v:textbox>
                      <w:txbxContent>
                        <w:p w:rsidR="00337BFE" w:rsidRPr="00337BFE" w:rsidRDefault="00337BFE" w:rsidP="00337BFE">
                          <w:pPr>
                            <w:spacing w:line="240" w:lineRule="auto"/>
                            <w:rPr>
                              <w:sz w:val="24"/>
                              <w:szCs w:val="24"/>
                            </w:rPr>
                          </w:pPr>
                          <w:r>
                            <w:t>What it told us……</w:t>
                          </w:r>
                          <w:r w:rsidR="004D2897">
                            <w:t>.During the course of the review a professional stated that she was unhappy with the decision to clo</w:t>
                          </w:r>
                          <w:r w:rsidR="0060777C">
                            <w:t>se the case and challenged the S</w:t>
                          </w:r>
                          <w:r w:rsidR="004D2897">
                            <w:t xml:space="preserve">ocial </w:t>
                          </w:r>
                          <w:r w:rsidR="0060777C">
                            <w:t>W</w:t>
                          </w:r>
                          <w:r w:rsidR="004D2897">
                            <w:t xml:space="preserve">orker regarding this. No </w:t>
                          </w:r>
                          <w:r w:rsidR="00B5488C">
                            <w:t>record was made of this conversation nor was</w:t>
                          </w:r>
                          <w:r w:rsidR="004D2897">
                            <w:t xml:space="preserve"> the </w:t>
                          </w:r>
                          <w:r w:rsidR="002D49E8">
                            <w:t>concern</w:t>
                          </w:r>
                          <w:r w:rsidR="004D2897">
                            <w:t xml:space="preserve"> escalated to senior managers.</w:t>
                          </w:r>
                        </w:p>
                        <w:p w:rsidR="00337BFE" w:rsidRPr="007822C6" w:rsidRDefault="00337BFE" w:rsidP="00337BFE">
                          <w:pPr>
                            <w:pStyle w:val="ListParagraph"/>
                            <w:rPr>
                              <w:sz w:val="24"/>
                              <w:szCs w:val="24"/>
                            </w:rPr>
                          </w:pPr>
                        </w:p>
                        <w:p w:rsidR="004E1A80" w:rsidRDefault="004E1A80" w:rsidP="00161ADA"/>
                      </w:txbxContent>
                    </v:textbox>
                  </v:shape>
                  <v:shape id="Text Box 2" o:spid="_x0000_s1031" type="#_x0000_t202" style="position:absolute;left:757;top:3008;width:32451;height:7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" fillcolor="#82c836" stroked="f">
                    <v:textbox>
                      <w:txbxContent>
                        <w:p w:rsidR="004E1A80" w:rsidRDefault="00161ADA" w:rsidP="0060777C">
                          <w:pPr>
                            <w:spacing w:after="0" w:line="240" w:lineRule="auto"/>
                          </w:pPr>
                          <w:r>
                            <w:t>What we all need to do now…</w:t>
                          </w:r>
                          <w:r w:rsidR="004D2897">
                            <w:t>..</w:t>
                          </w:r>
                          <w:r w:rsidR="00B575C4">
                            <w:t>The DSCP</w:t>
                          </w:r>
                          <w:r w:rsidR="002D49E8">
                            <w:t xml:space="preserve"> has a clear escalation process for resolving professional differences. The full procedure can be accessed via the following link </w:t>
                          </w:r>
                          <w:hyperlink r:id="rId9" w:history="1">
                            <w:r w:rsidR="002D49E8" w:rsidRPr="0060777C">
                              <w:rPr>
                                <w:rStyle w:val="Hyperlink"/>
                              </w:rPr>
                              <w:t>http://doncasterscb.proced</w:t>
                            </w:r>
                            <w:r w:rsidR="002D49E8" w:rsidRPr="0060777C">
                              <w:rPr>
                                <w:rStyle w:val="Hyperlink"/>
                              </w:rPr>
                              <w:t>u</w:t>
                            </w:r>
                            <w:r w:rsidR="002D49E8" w:rsidRPr="0060777C">
                              <w:rPr>
                                <w:rStyle w:val="Hyperlink"/>
                              </w:rPr>
                              <w:t>resonline.com/chapters/p_resolving_prof_diff.html</w:t>
                            </w:r>
                          </w:hyperlink>
                        </w:p>
                      </w:txbxContent>
                    </v:textbox>
                  </v:shape>
                </v:group>
                <v:group id="Group 14" o:spid="_x0000_s1032" style="position:absolute;left:649;top:-3341;width:52342;height:12097" coordorigin="397,-3341" coordsize="48200,1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3" type="#_x0000_t202" style="position:absolute;left:425;top:-3341;width:48172;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" fillcolor="#ffcf37" stroked="f">
                    <v:textbox>
                      <w:txbxContent>
                        <w:p w:rsidR="00AC050F" w:rsidRDefault="00161ADA" w:rsidP="0060777C">
                          <w:pPr>
                            <w:spacing w:after="0" w:line="240" w:lineRule="auto"/>
                          </w:pPr>
                          <w:r>
                            <w:t>What it told us…</w:t>
                          </w:r>
                          <w:r w:rsidR="00542998">
                            <w:t>…………</w:t>
                          </w:r>
                          <w:r w:rsidR="00FD67E9">
                            <w:t>Jack was subject to a Children and Families assessment as a Child in Need. The assessment focussed on the most obvious concern regarding mother’s parenting capacity and failed to explore other areas of concern.</w:t>
                          </w:r>
                        </w:p>
                        <w:p w:rsidR="004E1A80" w:rsidRDefault="004E1A80" w:rsidP="0060777C">
                          <w:pPr>
                            <w:spacing w:after="0" w:line="240" w:lineRule="auto"/>
                            <w:jc w:val="both"/>
                          </w:pPr>
                        </w:p>
                      </w:txbxContent>
                    </v:textbox>
                  </v:shape>
                  <v:shape id="Text Box 2" o:spid="_x0000_s1034" type="#_x0000_t202" style="position:absolute;left:397;top:3431;width:48201;height:5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" fillcolor="#82c836" stroked="f">
                    <v:textbox>
                      <w:txbxContent>
                        <w:p w:rsidR="00AC050F" w:rsidRDefault="00542998" w:rsidP="0060777C">
                          <w:pPr>
                            <w:spacing w:after="0" w:line="240" w:lineRule="auto"/>
                          </w:pPr>
                          <w:r>
                            <w:t>What we all need to do now…………..Assessments need to be holistic and consider all aspects of a child’s life including the factors that impact on parenting capacity. Both strengths and risk factors need to be considered and balanced to form an analysis of the child’s circumstances.</w:t>
                          </w:r>
                        </w:p>
                        <w:p w:rsidR="004E1A80" w:rsidRDefault="004E1A80" w:rsidP="0060777C">
                          <w:pPr>
                            <w:spacing w:after="0" w:line="240" w:lineRule="auto"/>
                          </w:pPr>
                        </w:p>
                      </w:txbxContent>
                    </v:textbox>
                  </v:shape>
                </v:group>
                <v:group id="Group 17" o:spid="_x0000_s1035" style="position:absolute;left:649;top:11359;width:52342;height:18856" coordorigin="-45179,-20128" coordsize="52349,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36" type="#_x0000_t202" style="position:absolute;left:-45179;top:-20128;width:52318;height:7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" fillcolor="#ffcf37" stroked="f">
                    <v:textbox>
                      <w:txbxContent>
                        <w:p w:rsidR="00337BFE" w:rsidRPr="00B575C4" w:rsidRDefault="00125270" w:rsidP="0060777C">
                          <w:pPr>
                            <w:spacing w:after="0" w:line="240" w:lineRule="auto"/>
                            <w:rPr>
                              <w:sz w:val="24"/>
                              <w:szCs w:val="24"/>
                            </w:rPr>
                          </w:pPr>
                          <w:r>
                            <w:t>What it told us…</w:t>
                          </w:r>
                          <w:r w:rsidR="00337BFE">
                            <w:t>…………</w:t>
                          </w:r>
                          <w:r w:rsidR="00337BFE" w:rsidRPr="00337BFE">
                            <w:rPr>
                              <w:sz w:val="24"/>
                              <w:szCs w:val="24"/>
                            </w:rPr>
                            <w:t xml:space="preserve"> </w:t>
                          </w:r>
                          <w:r w:rsidR="00337BFE">
                            <w:rPr>
                              <w:sz w:val="24"/>
                              <w:szCs w:val="24"/>
                            </w:rPr>
                            <w:t xml:space="preserve">The case was closed without convening a strategy meeting. The rationale was that the family as required support under Section 17(10) of the Children Act ’89 but the family chose to decline the service which they were entitled to do given that engagement with CIN planning requires consent. However this assessment was based on incomplete information. </w:t>
                          </w:r>
                        </w:p>
                        <w:p w:rsidR="00AC050F" w:rsidRDefault="00AC050F" w:rsidP="0060777C">
                          <w:pPr>
                            <w:spacing w:after="0" w:line="240" w:lineRule="auto"/>
                          </w:pPr>
                        </w:p>
                        <w:p w:rsidR="00125270" w:rsidRDefault="00125270" w:rsidP="0060777C">
                          <w:pPr>
                            <w:spacing w:after="0" w:line="240" w:lineRule="auto"/>
                          </w:pPr>
                          <w:r w:rsidRPr="009D06E3">
                            <w:t>.</w:t>
                          </w:r>
                        </w:p>
                      </w:txbxContent>
                    </v:textbox>
                  </v:shape>
                  <v:shape id="Text Box 2" o:spid="_x0000_s1037" type="#_x0000_t202" style="position:absolute;left:-45149;top:-10496;width:52318;height:9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" fillcolor="#82c836" stroked="f">
                    <v:textbox>
                      <w:txbxContent>
                        <w:p w:rsidR="00125270" w:rsidRDefault="00125270" w:rsidP="0060777C">
                          <w:pPr>
                            <w:spacing w:after="0" w:line="240" w:lineRule="auto"/>
                          </w:pPr>
                          <w:r>
                            <w:t>What we all need to do now…</w:t>
                          </w:r>
                          <w:r w:rsidR="00337BFE">
                            <w:t>……..</w:t>
                          </w:r>
                          <w:r w:rsidR="00337BFE" w:rsidRPr="00337BFE">
                            <w:rPr>
                              <w:sz w:val="24"/>
                              <w:szCs w:val="24"/>
                            </w:rPr>
                            <w:t xml:space="preserve"> </w:t>
                          </w:r>
                          <w:r w:rsidR="004D2897">
                            <w:rPr>
                              <w:sz w:val="24"/>
                              <w:szCs w:val="24"/>
                            </w:rPr>
                            <w:t>W</w:t>
                          </w:r>
                          <w:r w:rsidR="00A84EA1">
                            <w:rPr>
                              <w:sz w:val="24"/>
                              <w:szCs w:val="24"/>
                            </w:rPr>
                            <w:t xml:space="preserve">here risk factors have not been sufficiently explored or information remains unknown a multi-agency strategy meeting should be convened to consider whether closing the case is the correct decision. Withdrawal of consent </w:t>
                          </w:r>
                          <w:r w:rsidR="004D2897">
                            <w:rPr>
                              <w:sz w:val="24"/>
                              <w:szCs w:val="24"/>
                            </w:rPr>
                            <w:t xml:space="preserve">alongside unknown risk factors </w:t>
                          </w:r>
                          <w:r w:rsidR="00A84EA1">
                            <w:rPr>
                              <w:sz w:val="24"/>
                              <w:szCs w:val="24"/>
                            </w:rPr>
                            <w:t>may give “reasonable cause to suspect that the child is suffering</w:t>
                          </w:r>
                          <w:r w:rsidR="002D49E8">
                            <w:rPr>
                              <w:sz w:val="24"/>
                              <w:szCs w:val="24"/>
                            </w:rPr>
                            <w:t xml:space="preserve"> </w:t>
                          </w:r>
                          <w:r w:rsidR="00A84EA1">
                            <w:rPr>
                              <w:sz w:val="24"/>
                              <w:szCs w:val="24"/>
                            </w:rPr>
                            <w:t>significant harm</w:t>
                          </w:r>
                          <w:r w:rsidR="004D2897">
                            <w:rPr>
                              <w:sz w:val="24"/>
                              <w:szCs w:val="24"/>
                            </w:rPr>
                            <w:t>” under Section 47 of the Children Act. Child protection enquiries can continue without parental consent.</w:t>
                          </w:r>
                        </w:p>
                      </w:txbxContent>
                    </v:textbox>
                  </v:shape>
                </v:group>
              </v:group>
            </w:pict>
          </mc:Fallback>
        </mc:AlternateContent>
      </w:r>
    </w:p>
    <w:p w:rsidR="00F90332" w:rsidRPr="00296963" w:rsidRDefault="00F90332" w:rsidP="0089414B">
      <w:pPr>
        <w:spacing w:after="0"/>
        <w:rPr>
          <w:szCs w:val="24"/>
        </w:rPr>
      </w:pPr>
    </w:p>
    <w:p w:rsidR="00A232C5" w:rsidRDefault="00A232C5"/>
    <w:p w:rsidR="00A232C5" w:rsidRDefault="00A232C5">
      <w:pPr>
        <w:rPr>
          <w:b/>
        </w:rPr>
      </w:pPr>
    </w:p>
    <w:p w:rsidR="00161ADA" w:rsidRDefault="00161ADA">
      <w:pPr>
        <w:rPr>
          <w:b/>
        </w:rPr>
      </w:pPr>
    </w:p>
    <w:p w:rsidR="00125270" w:rsidRDefault="00125270">
      <w:pPr>
        <w:rPr>
          <w:b/>
        </w:rPr>
      </w:pPr>
    </w:p>
    <w:p w:rsidR="00125270" w:rsidRDefault="00125270">
      <w:pPr>
        <w:rPr>
          <w:b/>
        </w:rPr>
      </w:pPr>
    </w:p>
    <w:p w:rsidR="00125270" w:rsidRDefault="00125270">
      <w:pPr>
        <w:rPr>
          <w:b/>
        </w:rPr>
      </w:pPr>
    </w:p>
    <w:p w:rsidR="00125270" w:rsidRDefault="00125270">
      <w:pPr>
        <w:rPr>
          <w:b/>
        </w:rPr>
      </w:pPr>
    </w:p>
    <w:p w:rsidR="00161ADA" w:rsidRPr="00A232C5" w:rsidRDefault="00161ADA">
      <w:pPr>
        <w:rPr>
          <w:b/>
        </w:rPr>
      </w:pPr>
    </w:p>
    <w:sectPr w:rsidR="00161ADA" w:rsidRPr="00A232C5" w:rsidSect="00FC0C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7C" w:rsidRDefault="0060777C" w:rsidP="0060777C">
      <w:pPr>
        <w:spacing w:after="0" w:line="240" w:lineRule="auto"/>
      </w:pPr>
      <w:r>
        <w:separator/>
      </w:r>
    </w:p>
  </w:endnote>
  <w:endnote w:type="continuationSeparator" w:id="0">
    <w:p w:rsidR="0060777C" w:rsidRDefault="0060777C" w:rsidP="0060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7C" w:rsidRDefault="0060777C" w:rsidP="0060777C">
      <w:pPr>
        <w:spacing w:after="0" w:line="240" w:lineRule="auto"/>
      </w:pPr>
      <w:r>
        <w:separator/>
      </w:r>
    </w:p>
  </w:footnote>
  <w:footnote w:type="continuationSeparator" w:id="0">
    <w:p w:rsidR="0060777C" w:rsidRDefault="0060777C" w:rsidP="0060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05F57"/>
    <w:multiLevelType w:val="hybridMultilevel"/>
    <w:tmpl w:val="14380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C5"/>
    <w:rsid w:val="00125270"/>
    <w:rsid w:val="00161ADA"/>
    <w:rsid w:val="0017410D"/>
    <w:rsid w:val="001D2039"/>
    <w:rsid w:val="002508A3"/>
    <w:rsid w:val="00296963"/>
    <w:rsid w:val="002D49E8"/>
    <w:rsid w:val="00304724"/>
    <w:rsid w:val="00337BFE"/>
    <w:rsid w:val="00345651"/>
    <w:rsid w:val="004267F6"/>
    <w:rsid w:val="004D2897"/>
    <w:rsid w:val="004E1A80"/>
    <w:rsid w:val="00542998"/>
    <w:rsid w:val="00562CA3"/>
    <w:rsid w:val="005F2B84"/>
    <w:rsid w:val="0060777C"/>
    <w:rsid w:val="00630CC6"/>
    <w:rsid w:val="00630D54"/>
    <w:rsid w:val="00650BF6"/>
    <w:rsid w:val="006628D8"/>
    <w:rsid w:val="006A5E5B"/>
    <w:rsid w:val="006F4CF3"/>
    <w:rsid w:val="0073269B"/>
    <w:rsid w:val="00852B12"/>
    <w:rsid w:val="008533F3"/>
    <w:rsid w:val="0089414B"/>
    <w:rsid w:val="00894E58"/>
    <w:rsid w:val="008F25BB"/>
    <w:rsid w:val="009D06E3"/>
    <w:rsid w:val="00A232C5"/>
    <w:rsid w:val="00A84EA1"/>
    <w:rsid w:val="00AA42C2"/>
    <w:rsid w:val="00AC050F"/>
    <w:rsid w:val="00AD1839"/>
    <w:rsid w:val="00B5488C"/>
    <w:rsid w:val="00B575C4"/>
    <w:rsid w:val="00C85E0D"/>
    <w:rsid w:val="00D51086"/>
    <w:rsid w:val="00D523D2"/>
    <w:rsid w:val="00D83A45"/>
    <w:rsid w:val="00DC0564"/>
    <w:rsid w:val="00EB4CD9"/>
    <w:rsid w:val="00F62D8D"/>
    <w:rsid w:val="00F90332"/>
    <w:rsid w:val="00FC0C6B"/>
    <w:rsid w:val="00FD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1E8B91BC"/>
  <w15:docId w15:val="{E6E434C0-C8BB-45DC-9974-FD06B4C9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C5"/>
    <w:rPr>
      <w:rFonts w:ascii="Tahoma" w:hAnsi="Tahoma" w:cs="Tahoma"/>
      <w:sz w:val="16"/>
      <w:szCs w:val="16"/>
    </w:rPr>
  </w:style>
  <w:style w:type="table" w:styleId="TableGrid">
    <w:name w:val="Table Grid"/>
    <w:basedOn w:val="TableNormal"/>
    <w:uiPriority w:val="59"/>
    <w:unhideWhenUsed/>
    <w:rsid w:val="00F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50F"/>
    <w:pPr>
      <w:ind w:left="720"/>
      <w:contextualSpacing/>
    </w:pPr>
  </w:style>
  <w:style w:type="character" w:styleId="Hyperlink">
    <w:name w:val="Hyperlink"/>
    <w:basedOn w:val="DefaultParagraphFont"/>
    <w:uiPriority w:val="99"/>
    <w:unhideWhenUsed/>
    <w:rsid w:val="0060777C"/>
    <w:rPr>
      <w:color w:val="0000FF" w:themeColor="hyperlink"/>
      <w:u w:val="single"/>
    </w:rPr>
  </w:style>
  <w:style w:type="character" w:styleId="FollowedHyperlink">
    <w:name w:val="FollowedHyperlink"/>
    <w:basedOn w:val="DefaultParagraphFont"/>
    <w:uiPriority w:val="99"/>
    <w:semiHidden/>
    <w:unhideWhenUsed/>
    <w:rsid w:val="0060777C"/>
    <w:rPr>
      <w:color w:val="800080" w:themeColor="followedHyperlink"/>
      <w:u w:val="single"/>
    </w:rPr>
  </w:style>
  <w:style w:type="paragraph" w:styleId="Header">
    <w:name w:val="header"/>
    <w:basedOn w:val="Normal"/>
    <w:link w:val="HeaderChar"/>
    <w:uiPriority w:val="99"/>
    <w:unhideWhenUsed/>
    <w:rsid w:val="0060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7C"/>
  </w:style>
  <w:style w:type="paragraph" w:styleId="Footer">
    <w:name w:val="footer"/>
    <w:basedOn w:val="Normal"/>
    <w:link w:val="FooterChar"/>
    <w:uiPriority w:val="99"/>
    <w:unhideWhenUsed/>
    <w:rsid w:val="0060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casterscb.proceduresonline.com/chapters/p_resolving_prof_diff.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ncasterscb.proceduresonline.com/chapters/p_resolving_prof_di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Rosie</dc:creator>
  <cp:lastModifiedBy>DMBC</cp:lastModifiedBy>
  <cp:revision>3</cp:revision>
  <cp:lastPrinted>2018-04-05T14:10:00Z</cp:lastPrinted>
  <dcterms:created xsi:type="dcterms:W3CDTF">2019-10-01T15:16:00Z</dcterms:created>
  <dcterms:modified xsi:type="dcterms:W3CDTF">2019-10-01T15:26:00Z</dcterms:modified>
</cp:coreProperties>
</file>