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CF5" w:rsidRDefault="00AF3B1B">
      <w:pPr>
        <w:spacing w:before="1"/>
        <w:rPr>
          <w:rFonts w:ascii="Times New Roman" w:eastAsia="Times New Roman" w:hAnsi="Times New Roman" w:cs="Times New Roman"/>
          <w:sz w:val="7"/>
          <w:szCs w:val="7"/>
        </w:rPr>
      </w:pPr>
      <w:r w:rsidRPr="00DD7504">
        <w:rPr>
          <w:rFonts w:ascii="Arial" w:eastAsia="Times New Roman" w:hAnsi="Arial" w:cs="Arial"/>
          <w:noProof/>
          <w:color w:val="5A5B5B"/>
          <w:sz w:val="18"/>
          <w:szCs w:val="18"/>
          <w:lang w:val="en-GB" w:eastAsia="en-GB"/>
        </w:rPr>
        <w:drawing>
          <wp:inline distT="0" distB="0" distL="0" distR="0" wp14:anchorId="25194B42" wp14:editId="5668EA88">
            <wp:extent cx="1428750" cy="1457325"/>
            <wp:effectExtent l="0" t="0" r="0" b="9525"/>
            <wp:docPr id="2" name="Picture 2" descr="Doncaster S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caster SC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57325"/>
                    </a:xfrm>
                    <a:prstGeom prst="rect">
                      <a:avLst/>
                    </a:prstGeom>
                    <a:noFill/>
                    <a:ln>
                      <a:noFill/>
                    </a:ln>
                  </pic:spPr>
                </pic:pic>
              </a:graphicData>
            </a:graphic>
          </wp:inline>
        </w:drawing>
      </w:r>
    </w:p>
    <w:p w:rsidR="00A94CF5" w:rsidRDefault="00A94CF5">
      <w:pPr>
        <w:spacing w:line="200" w:lineRule="atLeast"/>
        <w:ind w:left="1190"/>
        <w:rPr>
          <w:rFonts w:ascii="Times New Roman" w:eastAsia="Times New Roman" w:hAnsi="Times New Roman" w:cs="Times New Roman"/>
          <w:sz w:val="20"/>
          <w:szCs w:val="20"/>
        </w:rPr>
      </w:pPr>
    </w:p>
    <w:p w:rsidR="00A94CF5" w:rsidRDefault="00A94CF5">
      <w:pPr>
        <w:spacing w:before="4"/>
        <w:rPr>
          <w:rFonts w:ascii="Times New Roman" w:eastAsia="Times New Roman" w:hAnsi="Times New Roman" w:cs="Times New Roman"/>
          <w:sz w:val="15"/>
          <w:szCs w:val="15"/>
        </w:rPr>
      </w:pPr>
    </w:p>
    <w:p w:rsidR="00AF3B1B" w:rsidRDefault="00AF3B1B" w:rsidP="00AF3B1B">
      <w:pPr>
        <w:pStyle w:val="Heading1"/>
        <w:spacing w:line="273" w:lineRule="auto"/>
        <w:ind w:left="140" w:right="302"/>
        <w:jc w:val="center"/>
        <w:rPr>
          <w:color w:val="00B0F0"/>
          <w:spacing w:val="-9"/>
          <w:sz w:val="32"/>
          <w:szCs w:val="32"/>
        </w:rPr>
      </w:pPr>
      <w:r w:rsidRPr="00AF3B1B">
        <w:rPr>
          <w:color w:val="00B0F0"/>
          <w:spacing w:val="-1"/>
          <w:sz w:val="32"/>
          <w:szCs w:val="32"/>
        </w:rPr>
        <w:t>Doncaster Safeguarding Children Board (DSCB)</w:t>
      </w:r>
      <w:r w:rsidR="003E3C88" w:rsidRPr="00AF3B1B">
        <w:rPr>
          <w:color w:val="00B0F0"/>
          <w:spacing w:val="-9"/>
          <w:sz w:val="32"/>
          <w:szCs w:val="32"/>
        </w:rPr>
        <w:t xml:space="preserve"> </w:t>
      </w:r>
      <w:r w:rsidRPr="00AF3B1B">
        <w:rPr>
          <w:color w:val="00B0F0"/>
          <w:spacing w:val="-9"/>
          <w:sz w:val="32"/>
          <w:szCs w:val="32"/>
        </w:rPr>
        <w:t xml:space="preserve">– </w:t>
      </w:r>
    </w:p>
    <w:p w:rsidR="00A94CF5" w:rsidRDefault="00AF3B1B" w:rsidP="00AF3B1B">
      <w:pPr>
        <w:pStyle w:val="Heading1"/>
        <w:spacing w:line="273" w:lineRule="auto"/>
        <w:ind w:left="140" w:right="302"/>
        <w:jc w:val="center"/>
        <w:rPr>
          <w:color w:val="00B0F0"/>
          <w:sz w:val="32"/>
          <w:szCs w:val="32"/>
        </w:rPr>
      </w:pPr>
      <w:r>
        <w:rPr>
          <w:color w:val="00B0F0"/>
          <w:sz w:val="32"/>
          <w:szCs w:val="32"/>
        </w:rPr>
        <w:t>Update to Online Procedures Manual</w:t>
      </w:r>
    </w:p>
    <w:p w:rsidR="00AF3B1B" w:rsidRDefault="00AF3B1B">
      <w:pPr>
        <w:pStyle w:val="Heading1"/>
        <w:spacing w:line="273" w:lineRule="auto"/>
        <w:ind w:left="140" w:right="302"/>
        <w:rPr>
          <w:color w:val="00B0F0"/>
          <w:sz w:val="32"/>
          <w:szCs w:val="32"/>
        </w:rPr>
      </w:pPr>
    </w:p>
    <w:p w:rsidR="00A94CF5" w:rsidRDefault="003E3C88">
      <w:pPr>
        <w:pStyle w:val="BodyText"/>
        <w:spacing w:before="215"/>
        <w:rPr>
          <w:u w:val="none"/>
        </w:rPr>
      </w:pPr>
      <w:r>
        <w:rPr>
          <w:spacing w:val="-1"/>
          <w:u w:val="none"/>
        </w:rPr>
        <w:t xml:space="preserve">Briefing Note: </w:t>
      </w:r>
      <w:r w:rsidR="00AF3B1B">
        <w:rPr>
          <w:spacing w:val="-1"/>
          <w:u w:val="none"/>
        </w:rPr>
        <w:t>February 2017</w:t>
      </w:r>
    </w:p>
    <w:p w:rsidR="00A94CF5" w:rsidRDefault="00A94CF5">
      <w:pPr>
        <w:spacing w:before="6"/>
        <w:rPr>
          <w:rFonts w:ascii="Calibri" w:eastAsia="Calibri" w:hAnsi="Calibri" w:cs="Calibri"/>
          <w:sz w:val="4"/>
          <w:szCs w:val="4"/>
        </w:rPr>
      </w:pPr>
    </w:p>
    <w:p w:rsidR="00A94CF5" w:rsidRDefault="00B72345">
      <w:pPr>
        <w:spacing w:line="20" w:lineRule="atLeast"/>
        <w:ind w:left="103"/>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extent cx="5779770" cy="10795"/>
                <wp:effectExtent l="9525" t="9525" r="1905" b="825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770" cy="10795"/>
                          <a:chOff x="0" y="0"/>
                          <a:chExt cx="9102" cy="17"/>
                        </a:xfrm>
                      </wpg:grpSpPr>
                      <wpg:grpSp>
                        <wpg:cNvPr id="5" name="Group 3"/>
                        <wpg:cNvGrpSpPr>
                          <a:grpSpLocks/>
                        </wpg:cNvGrpSpPr>
                        <wpg:grpSpPr bwMode="auto">
                          <a:xfrm>
                            <a:off x="8" y="8"/>
                            <a:ext cx="9086" cy="2"/>
                            <a:chOff x="8" y="8"/>
                            <a:chExt cx="9086" cy="2"/>
                          </a:xfrm>
                        </wpg:grpSpPr>
                        <wps:wsp>
                          <wps:cNvPr id="6" name="Freeform 4"/>
                          <wps:cNvSpPr>
                            <a:spLocks/>
                          </wps:cNvSpPr>
                          <wps:spPr bwMode="auto">
                            <a:xfrm>
                              <a:off x="8" y="8"/>
                              <a:ext cx="9086" cy="2"/>
                            </a:xfrm>
                            <a:custGeom>
                              <a:avLst/>
                              <a:gdLst>
                                <a:gd name="T0" fmla="+- 0 8 8"/>
                                <a:gd name="T1" fmla="*/ T0 w 9086"/>
                                <a:gd name="T2" fmla="+- 0 9094 8"/>
                                <a:gd name="T3" fmla="*/ T2 w 9086"/>
                              </a:gdLst>
                              <a:ahLst/>
                              <a:cxnLst>
                                <a:cxn ang="0">
                                  <a:pos x="T1" y="0"/>
                                </a:cxn>
                                <a:cxn ang="0">
                                  <a:pos x="T3" y="0"/>
                                </a:cxn>
                              </a:cxnLst>
                              <a:rect l="0" t="0" r="r" b="b"/>
                              <a:pathLst>
                                <a:path w="9086">
                                  <a:moveTo>
                                    <a:pt x="0" y="0"/>
                                  </a:moveTo>
                                  <a:lnTo>
                                    <a:pt x="908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455.1pt;height:.85pt;mso-position-horizontal-relative:char;mso-position-vertical-relative:line" coordsize="91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">
                <v:group id="Group 3" o:spid="_x0000_s1027" style="position:absolute;left:8;top:8;width:9086;height:2" coordorigin="8,8" coordsize="90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28" style="position:absolute;left:8;top:8;width:9086;height:2;visibility:visible;mso-wrap-style:square;v-text-anchor:top" coordsize="90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2Qy8MA&#10;AADaAAAADwAAAGRycy9kb3ducmV2LnhtbESPQWsCMRSE7wX/Q3iCt5q1iJStUUSQbr11a6G9PZLn&#10;7urmJSTpuv33TaHQ4zAz3zDr7Wh7MVCInWMFi3kBglg703Gj4PR2uH8EEROywd4xKfimCNvN5G6N&#10;pXE3fqWhTo3IEI4lKmhT8qWUUbdkMc6dJ87e2QWLKcvQSBPwluG2lw9FsZIWO84LLXrat6Sv9ZdV&#10;UC36Z3+shg/94vW4/HyvL+HYKTWbjrsnEInG9B/+a1dGwQp+r+Qb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2Qy8MAAADaAAAADwAAAAAAAAAAAAAAAACYAgAAZHJzL2Rv&#10;d25yZXYueG1sUEsFBgAAAAAEAAQA9QAAAIgDAAAAAA==&#10;" path="m,l9086,e" filled="f" strokeweight=".82pt">
                    <v:path arrowok="t" o:connecttype="custom" o:connectlocs="0,0;9086,0" o:connectangles="0,0"/>
                  </v:shape>
                </v:group>
                <w10:anchorlock/>
              </v:group>
            </w:pict>
          </mc:Fallback>
        </mc:AlternateContent>
      </w:r>
    </w:p>
    <w:p w:rsidR="00A94CF5" w:rsidRPr="00B72345" w:rsidRDefault="00A94CF5">
      <w:pPr>
        <w:spacing w:before="10"/>
        <w:rPr>
          <w:rFonts w:ascii="Calibri" w:eastAsia="Calibri" w:hAnsi="Calibri" w:cs="Calibri"/>
          <w:sz w:val="20"/>
          <w:szCs w:val="20"/>
        </w:rPr>
      </w:pPr>
    </w:p>
    <w:p w:rsidR="00AF3B1B" w:rsidRPr="003E3C88" w:rsidRDefault="00AF3B1B" w:rsidP="00AF3B1B">
      <w:pPr>
        <w:pStyle w:val="BodyText"/>
        <w:spacing w:before="56" w:line="278" w:lineRule="auto"/>
        <w:ind w:right="302"/>
        <w:rPr>
          <w:b/>
          <w:color w:val="00B0F0"/>
          <w:spacing w:val="-1"/>
          <w:sz w:val="20"/>
          <w:szCs w:val="20"/>
          <w:u w:val="none"/>
        </w:rPr>
      </w:pPr>
      <w:r w:rsidRPr="00B72345">
        <w:rPr>
          <w:sz w:val="20"/>
          <w:szCs w:val="20"/>
          <w:u w:val="none"/>
        </w:rPr>
        <w:t>Doncaster</w:t>
      </w:r>
      <w:r w:rsidR="003E3C88" w:rsidRPr="00B72345">
        <w:rPr>
          <w:spacing w:val="-1"/>
          <w:sz w:val="20"/>
          <w:szCs w:val="20"/>
          <w:u w:val="none"/>
        </w:rPr>
        <w:t xml:space="preserve"> Safeguarding Children</w:t>
      </w:r>
      <w:r w:rsidR="003E3C88" w:rsidRPr="00B72345">
        <w:rPr>
          <w:spacing w:val="-3"/>
          <w:sz w:val="20"/>
          <w:szCs w:val="20"/>
          <w:u w:val="none"/>
        </w:rPr>
        <w:t xml:space="preserve"> </w:t>
      </w:r>
      <w:r w:rsidR="003E3C88" w:rsidRPr="00B72345">
        <w:rPr>
          <w:spacing w:val="-1"/>
          <w:sz w:val="20"/>
          <w:szCs w:val="20"/>
          <w:u w:val="none"/>
        </w:rPr>
        <w:t>Board</w:t>
      </w:r>
      <w:r w:rsidR="003E3C88" w:rsidRPr="00B72345">
        <w:rPr>
          <w:spacing w:val="-3"/>
          <w:sz w:val="20"/>
          <w:szCs w:val="20"/>
          <w:u w:val="none"/>
        </w:rPr>
        <w:t xml:space="preserve"> </w:t>
      </w:r>
      <w:r w:rsidR="003E3C88" w:rsidRPr="00B72345">
        <w:rPr>
          <w:spacing w:val="-1"/>
          <w:sz w:val="20"/>
          <w:szCs w:val="20"/>
          <w:u w:val="none"/>
        </w:rPr>
        <w:t>procedures</w:t>
      </w:r>
      <w:r w:rsidR="003E3C88" w:rsidRPr="00B72345">
        <w:rPr>
          <w:spacing w:val="-2"/>
          <w:sz w:val="20"/>
          <w:szCs w:val="20"/>
          <w:u w:val="none"/>
        </w:rPr>
        <w:t xml:space="preserve"> </w:t>
      </w:r>
      <w:r w:rsidR="003E3C88" w:rsidRPr="00B72345">
        <w:rPr>
          <w:spacing w:val="-1"/>
          <w:sz w:val="20"/>
          <w:szCs w:val="20"/>
          <w:u w:val="none"/>
        </w:rPr>
        <w:t>have</w:t>
      </w:r>
      <w:r w:rsidR="003E3C88" w:rsidRPr="00B72345">
        <w:rPr>
          <w:spacing w:val="-2"/>
          <w:sz w:val="20"/>
          <w:szCs w:val="20"/>
          <w:u w:val="none"/>
        </w:rPr>
        <w:t xml:space="preserve"> </w:t>
      </w:r>
      <w:r w:rsidR="003E3C88" w:rsidRPr="00B72345">
        <w:rPr>
          <w:spacing w:val="-1"/>
          <w:sz w:val="20"/>
          <w:szCs w:val="20"/>
          <w:u w:val="none"/>
        </w:rPr>
        <w:t>been</w:t>
      </w:r>
      <w:r w:rsidR="003E3C88" w:rsidRPr="00B72345">
        <w:rPr>
          <w:spacing w:val="-3"/>
          <w:sz w:val="20"/>
          <w:szCs w:val="20"/>
          <w:u w:val="none"/>
        </w:rPr>
        <w:t xml:space="preserve"> </w:t>
      </w:r>
      <w:r w:rsidR="003E3C88" w:rsidRPr="00B72345">
        <w:rPr>
          <w:spacing w:val="-1"/>
          <w:sz w:val="20"/>
          <w:szCs w:val="20"/>
          <w:u w:val="none"/>
        </w:rPr>
        <w:t>updated</w:t>
      </w:r>
      <w:r w:rsidRPr="00B72345">
        <w:rPr>
          <w:spacing w:val="-1"/>
          <w:sz w:val="20"/>
          <w:szCs w:val="20"/>
          <w:u w:val="none"/>
        </w:rPr>
        <w:t xml:space="preserve">. </w:t>
      </w:r>
      <w:r w:rsidR="008D21C0" w:rsidRPr="00B72345">
        <w:rPr>
          <w:spacing w:val="-1"/>
          <w:sz w:val="20"/>
          <w:szCs w:val="20"/>
          <w:u w:val="none"/>
        </w:rPr>
        <w:t xml:space="preserve">This briefing note provides a summary of new and updated procedures. </w:t>
      </w:r>
      <w:r w:rsidRPr="00B72345">
        <w:rPr>
          <w:spacing w:val="-1"/>
          <w:sz w:val="20"/>
          <w:szCs w:val="20"/>
          <w:u w:val="none"/>
        </w:rPr>
        <w:t xml:space="preserve">The direct link to the procedures manual is: </w:t>
      </w:r>
      <w:hyperlink r:id="rId9" w:history="1">
        <w:r w:rsidRPr="003E3C88">
          <w:rPr>
            <w:rStyle w:val="Hyperlink"/>
            <w:b/>
            <w:color w:val="00B0F0"/>
            <w:spacing w:val="-1"/>
            <w:sz w:val="20"/>
            <w:szCs w:val="20"/>
          </w:rPr>
          <w:t>http://doncasterscb.proceduresonline.com/</w:t>
        </w:r>
      </w:hyperlink>
    </w:p>
    <w:p w:rsidR="008D21C0" w:rsidRDefault="008D21C0" w:rsidP="00AF3B1B">
      <w:pPr>
        <w:pStyle w:val="BodyText"/>
        <w:spacing w:before="56" w:line="278" w:lineRule="auto"/>
        <w:ind w:right="302"/>
        <w:rPr>
          <w:color w:val="00B0F0"/>
          <w:spacing w:val="-1"/>
          <w:u w:val="none"/>
        </w:rPr>
      </w:pPr>
    </w:p>
    <w:p w:rsidR="00AF3B1B" w:rsidRPr="00B72345" w:rsidRDefault="008D21C0" w:rsidP="008D21C0">
      <w:pPr>
        <w:pStyle w:val="Heading2"/>
        <w:ind w:left="0"/>
        <w:rPr>
          <w:color w:val="00B0F0"/>
          <w:spacing w:val="-1"/>
        </w:rPr>
      </w:pPr>
      <w:r w:rsidRPr="00B72345">
        <w:rPr>
          <w:color w:val="00B0F0"/>
          <w:spacing w:val="-1"/>
        </w:rPr>
        <w:t>New Procedures and Guidance</w:t>
      </w:r>
      <w:r w:rsidR="00AF3B1B" w:rsidRPr="00B72345">
        <w:rPr>
          <w:color w:val="00B0F0"/>
          <w:spacing w:val="-1"/>
        </w:rPr>
        <w:t>:</w:t>
      </w:r>
    </w:p>
    <w:p w:rsidR="006D55F5" w:rsidRDefault="006D55F5" w:rsidP="006D55F5">
      <w:pPr>
        <w:pStyle w:val="Heading2"/>
        <w:ind w:left="0"/>
        <w:rPr>
          <w:spacing w:val="-1"/>
        </w:rPr>
      </w:pPr>
    </w:p>
    <w:p w:rsidR="006D55F5" w:rsidRPr="008D21C0" w:rsidRDefault="00454A7E" w:rsidP="006D55F5">
      <w:pPr>
        <w:pStyle w:val="Heading2"/>
        <w:ind w:left="0"/>
        <w:rPr>
          <w:color w:val="00B0F0"/>
          <w:spacing w:val="-1"/>
          <w:sz w:val="20"/>
          <w:szCs w:val="20"/>
        </w:rPr>
      </w:pPr>
      <w:hyperlink r:id="rId10" w:history="1">
        <w:r w:rsidR="006D55F5" w:rsidRPr="006D55F5">
          <w:rPr>
            <w:rStyle w:val="Hyperlink"/>
            <w:color w:val="00B0F0"/>
            <w:spacing w:val="-1"/>
            <w:sz w:val="20"/>
            <w:szCs w:val="20"/>
          </w:rPr>
          <w:t>'</w:t>
        </w:r>
        <w:proofErr w:type="spellStart"/>
        <w:r w:rsidR="006D55F5" w:rsidRPr="006D55F5">
          <w:rPr>
            <w:rStyle w:val="Hyperlink"/>
            <w:color w:val="00B0F0"/>
            <w:spacing w:val="-1"/>
            <w:sz w:val="20"/>
            <w:szCs w:val="20"/>
          </w:rPr>
          <w:t>Honour</w:t>
        </w:r>
        <w:proofErr w:type="spellEnd"/>
        <w:r w:rsidR="006D55F5" w:rsidRPr="006D55F5">
          <w:rPr>
            <w:rStyle w:val="Hyperlink"/>
            <w:color w:val="00B0F0"/>
            <w:spacing w:val="-1"/>
            <w:sz w:val="20"/>
            <w:szCs w:val="20"/>
          </w:rPr>
          <w:t>' Based Violence</w:t>
        </w:r>
      </w:hyperlink>
      <w:r w:rsidR="006D55F5">
        <w:rPr>
          <w:color w:val="00B0F0"/>
          <w:spacing w:val="-1"/>
          <w:sz w:val="20"/>
          <w:szCs w:val="20"/>
        </w:rPr>
        <w:t xml:space="preserve"> -  </w:t>
      </w:r>
      <w:r w:rsidR="006D55F5" w:rsidRPr="006D55F5">
        <w:rPr>
          <w:b w:val="0"/>
          <w:spacing w:val="-1"/>
          <w:sz w:val="20"/>
          <w:szCs w:val="20"/>
        </w:rPr>
        <w:t>This new guidance provides information for practitioners on how to respond to so called ‘</w:t>
      </w:r>
      <w:proofErr w:type="spellStart"/>
      <w:r w:rsidR="006D55F5" w:rsidRPr="006D55F5">
        <w:rPr>
          <w:b w:val="0"/>
          <w:spacing w:val="-1"/>
          <w:sz w:val="20"/>
          <w:szCs w:val="20"/>
        </w:rPr>
        <w:t>Honour</w:t>
      </w:r>
      <w:proofErr w:type="spellEnd"/>
      <w:r w:rsidR="006D55F5" w:rsidRPr="006D55F5">
        <w:rPr>
          <w:b w:val="0"/>
          <w:spacing w:val="-1"/>
          <w:sz w:val="20"/>
          <w:szCs w:val="20"/>
        </w:rPr>
        <w:t xml:space="preserve">’ based violence. </w:t>
      </w:r>
      <w:r w:rsidR="008D21C0">
        <w:rPr>
          <w:color w:val="00B0F0"/>
          <w:spacing w:val="-1"/>
          <w:sz w:val="20"/>
          <w:szCs w:val="20"/>
        </w:rPr>
        <w:t xml:space="preserve"> </w:t>
      </w:r>
      <w:r w:rsidR="006D55F5" w:rsidRPr="006D55F5">
        <w:rPr>
          <w:b w:val="0"/>
          <w:spacing w:val="-1"/>
          <w:sz w:val="20"/>
          <w:szCs w:val="20"/>
        </w:rPr>
        <w:t>‘</w:t>
      </w:r>
      <w:proofErr w:type="spellStart"/>
      <w:r w:rsidR="006D55F5" w:rsidRPr="006D55F5">
        <w:rPr>
          <w:b w:val="0"/>
          <w:spacing w:val="-1"/>
          <w:sz w:val="20"/>
          <w:szCs w:val="20"/>
        </w:rPr>
        <w:t>Honour</w:t>
      </w:r>
      <w:proofErr w:type="spellEnd"/>
      <w:r w:rsidR="006D55F5" w:rsidRPr="006D55F5">
        <w:rPr>
          <w:b w:val="0"/>
          <w:spacing w:val="-1"/>
          <w:sz w:val="20"/>
          <w:szCs w:val="20"/>
        </w:rPr>
        <w:t xml:space="preserve"> Based Violence’ is a collection of practices, which are used to control behaviour within families or other social groups</w:t>
      </w:r>
      <w:r w:rsidR="008D21C0">
        <w:rPr>
          <w:b w:val="0"/>
          <w:spacing w:val="-1"/>
          <w:sz w:val="20"/>
          <w:szCs w:val="20"/>
        </w:rPr>
        <w:t>,</w:t>
      </w:r>
      <w:r w:rsidR="006D55F5" w:rsidRPr="006D55F5">
        <w:rPr>
          <w:b w:val="0"/>
          <w:spacing w:val="-1"/>
          <w:sz w:val="20"/>
          <w:szCs w:val="20"/>
        </w:rPr>
        <w:t xml:space="preserve"> to protect perceived cultural and religious beliefs and/or ‘</w:t>
      </w:r>
      <w:proofErr w:type="spellStart"/>
      <w:r w:rsidR="006D55F5" w:rsidRPr="006D55F5">
        <w:rPr>
          <w:b w:val="0"/>
          <w:spacing w:val="-1"/>
          <w:sz w:val="20"/>
          <w:szCs w:val="20"/>
        </w:rPr>
        <w:t>Honour</w:t>
      </w:r>
      <w:proofErr w:type="spellEnd"/>
      <w:r w:rsidR="006D55F5" w:rsidRPr="006D55F5">
        <w:rPr>
          <w:b w:val="0"/>
          <w:spacing w:val="-1"/>
          <w:sz w:val="20"/>
          <w:szCs w:val="20"/>
        </w:rPr>
        <w:t>’.   Abuse occurs when perpetrators perceive that a relative has shamed the family and / or community by breaking their ‘</w:t>
      </w:r>
      <w:proofErr w:type="spellStart"/>
      <w:r w:rsidR="006D55F5" w:rsidRPr="006D55F5">
        <w:rPr>
          <w:b w:val="0"/>
          <w:spacing w:val="-1"/>
          <w:sz w:val="20"/>
          <w:szCs w:val="20"/>
        </w:rPr>
        <w:t>Honour</w:t>
      </w:r>
      <w:proofErr w:type="spellEnd"/>
      <w:r w:rsidR="006D55F5" w:rsidRPr="006D55F5">
        <w:rPr>
          <w:b w:val="0"/>
          <w:spacing w:val="-1"/>
          <w:sz w:val="20"/>
          <w:szCs w:val="20"/>
        </w:rPr>
        <w:t>’ code, or when they feel under pressure to demonstrate their fidelity to perceived cultural and religious values.</w:t>
      </w:r>
    </w:p>
    <w:p w:rsidR="006D55F5" w:rsidRPr="006D55F5" w:rsidRDefault="006D55F5" w:rsidP="006D55F5">
      <w:pPr>
        <w:pStyle w:val="Heading2"/>
        <w:rPr>
          <w:b w:val="0"/>
          <w:spacing w:val="-1"/>
          <w:sz w:val="20"/>
          <w:szCs w:val="20"/>
        </w:rPr>
      </w:pPr>
    </w:p>
    <w:p w:rsidR="006D55F5" w:rsidRPr="00B72345" w:rsidRDefault="00B72345" w:rsidP="006D55F5">
      <w:pPr>
        <w:pStyle w:val="Heading2"/>
        <w:ind w:left="0"/>
        <w:rPr>
          <w:b w:val="0"/>
          <w:spacing w:val="-1"/>
          <w:sz w:val="20"/>
          <w:szCs w:val="20"/>
        </w:rPr>
      </w:pPr>
      <w:r>
        <w:rPr>
          <w:b w:val="0"/>
          <w:spacing w:val="-1"/>
          <w:sz w:val="20"/>
          <w:szCs w:val="20"/>
        </w:rPr>
        <w:t>The guide describes</w:t>
      </w:r>
      <w:r w:rsidR="006D55F5" w:rsidRPr="006D55F5">
        <w:rPr>
          <w:b w:val="0"/>
          <w:spacing w:val="-1"/>
          <w:sz w:val="20"/>
          <w:szCs w:val="20"/>
        </w:rPr>
        <w:t xml:space="preserve"> behaviours which can be seen to</w:t>
      </w:r>
      <w:r>
        <w:rPr>
          <w:b w:val="0"/>
          <w:spacing w:val="-1"/>
          <w:sz w:val="20"/>
          <w:szCs w:val="20"/>
        </w:rPr>
        <w:t xml:space="preserve"> have</w:t>
      </w:r>
      <w:r w:rsidR="006D55F5" w:rsidRPr="006D55F5">
        <w:rPr>
          <w:b w:val="0"/>
          <w:spacing w:val="-1"/>
          <w:sz w:val="20"/>
          <w:szCs w:val="20"/>
        </w:rPr>
        <w:t xml:space="preserve"> broken ‘</w:t>
      </w:r>
      <w:proofErr w:type="spellStart"/>
      <w:r w:rsidR="006D55F5" w:rsidRPr="006D55F5">
        <w:rPr>
          <w:b w:val="0"/>
          <w:spacing w:val="-1"/>
          <w:sz w:val="20"/>
          <w:szCs w:val="20"/>
        </w:rPr>
        <w:t>Honour</w:t>
      </w:r>
      <w:proofErr w:type="spellEnd"/>
      <w:r w:rsidR="006D55F5" w:rsidRPr="006D55F5">
        <w:rPr>
          <w:b w:val="0"/>
          <w:spacing w:val="-1"/>
          <w:sz w:val="20"/>
          <w:szCs w:val="20"/>
        </w:rPr>
        <w:t>’ codes and lists indicators of ‘</w:t>
      </w:r>
      <w:proofErr w:type="spellStart"/>
      <w:r w:rsidR="006D55F5" w:rsidRPr="006D55F5">
        <w:rPr>
          <w:b w:val="0"/>
          <w:spacing w:val="-1"/>
          <w:sz w:val="20"/>
          <w:szCs w:val="20"/>
        </w:rPr>
        <w:t>Honour</w:t>
      </w:r>
      <w:proofErr w:type="spellEnd"/>
      <w:r w:rsidR="006D55F5" w:rsidRPr="006D55F5">
        <w:rPr>
          <w:b w:val="0"/>
          <w:spacing w:val="-1"/>
          <w:sz w:val="20"/>
          <w:szCs w:val="20"/>
        </w:rPr>
        <w:t>’ based violence. It also explains the ‘One Chance Rule’ and the importance of an assured</w:t>
      </w:r>
      <w:r>
        <w:rPr>
          <w:b w:val="0"/>
          <w:spacing w:val="-1"/>
          <w:sz w:val="20"/>
          <w:szCs w:val="20"/>
        </w:rPr>
        <w:t xml:space="preserve"> and confident</w:t>
      </w:r>
      <w:r w:rsidR="006D55F5" w:rsidRPr="006D55F5">
        <w:rPr>
          <w:b w:val="0"/>
          <w:spacing w:val="-1"/>
          <w:sz w:val="20"/>
          <w:szCs w:val="20"/>
        </w:rPr>
        <w:t xml:space="preserve"> professional response if a child or young person discloses that they have suffered (or are at r</w:t>
      </w:r>
      <w:r>
        <w:rPr>
          <w:b w:val="0"/>
          <w:spacing w:val="-1"/>
          <w:sz w:val="20"/>
          <w:szCs w:val="20"/>
        </w:rPr>
        <w:t>isk of) ‘</w:t>
      </w:r>
      <w:proofErr w:type="spellStart"/>
      <w:r>
        <w:rPr>
          <w:b w:val="0"/>
          <w:spacing w:val="-1"/>
          <w:sz w:val="20"/>
          <w:szCs w:val="20"/>
        </w:rPr>
        <w:t>Honour</w:t>
      </w:r>
      <w:proofErr w:type="spellEnd"/>
      <w:r>
        <w:rPr>
          <w:b w:val="0"/>
          <w:spacing w:val="-1"/>
          <w:sz w:val="20"/>
          <w:szCs w:val="20"/>
        </w:rPr>
        <w:t xml:space="preserve">’ based violence.  </w:t>
      </w:r>
      <w:r w:rsidR="006D55F5" w:rsidRPr="006D55F5">
        <w:rPr>
          <w:b w:val="0"/>
          <w:spacing w:val="-1"/>
          <w:sz w:val="20"/>
          <w:szCs w:val="20"/>
        </w:rPr>
        <w:t>The guide ends with best practice for professionals on how to respond if they become aware of ‘</w:t>
      </w:r>
      <w:proofErr w:type="spellStart"/>
      <w:r w:rsidR="006D55F5" w:rsidRPr="006D55F5">
        <w:rPr>
          <w:b w:val="0"/>
          <w:spacing w:val="-1"/>
          <w:sz w:val="20"/>
          <w:szCs w:val="20"/>
        </w:rPr>
        <w:t>Honour</w:t>
      </w:r>
      <w:proofErr w:type="spellEnd"/>
      <w:r w:rsidR="006D55F5" w:rsidRPr="006D55F5">
        <w:rPr>
          <w:b w:val="0"/>
          <w:spacing w:val="-1"/>
          <w:sz w:val="20"/>
          <w:szCs w:val="20"/>
        </w:rPr>
        <w:t>’ based violence.</w:t>
      </w:r>
    </w:p>
    <w:p w:rsidR="006D55F5" w:rsidRDefault="006D55F5">
      <w:pPr>
        <w:pStyle w:val="Heading2"/>
        <w:ind w:left="140"/>
        <w:rPr>
          <w:spacing w:val="-1"/>
        </w:rPr>
      </w:pPr>
    </w:p>
    <w:p w:rsidR="006D55F5" w:rsidRPr="008D21C0" w:rsidRDefault="006D55F5" w:rsidP="008D21C0">
      <w:pPr>
        <w:pStyle w:val="Heading2"/>
        <w:ind w:left="0"/>
        <w:rPr>
          <w:b w:val="0"/>
          <w:spacing w:val="-1"/>
          <w:sz w:val="20"/>
          <w:szCs w:val="20"/>
        </w:rPr>
      </w:pPr>
    </w:p>
    <w:p w:rsidR="008D21C0" w:rsidRPr="008D21C0" w:rsidRDefault="00454A7E" w:rsidP="00B72345">
      <w:pPr>
        <w:pStyle w:val="Heading2"/>
        <w:ind w:left="0"/>
        <w:rPr>
          <w:b w:val="0"/>
          <w:spacing w:val="-1"/>
          <w:sz w:val="20"/>
          <w:szCs w:val="20"/>
        </w:rPr>
      </w:pPr>
      <w:hyperlink r:id="rId11" w:history="1">
        <w:r w:rsidR="008D21C0" w:rsidRPr="008D21C0">
          <w:rPr>
            <w:rStyle w:val="Hyperlink"/>
            <w:color w:val="00B0F0"/>
            <w:spacing w:val="-1"/>
            <w:sz w:val="20"/>
            <w:szCs w:val="20"/>
          </w:rPr>
          <w:t>Safeguarding Children from Dangerous Dogs Practice Guidance</w:t>
        </w:r>
      </w:hyperlink>
      <w:r w:rsidR="008D21C0">
        <w:rPr>
          <w:color w:val="00B0F0"/>
          <w:spacing w:val="-1"/>
          <w:sz w:val="20"/>
          <w:szCs w:val="20"/>
        </w:rPr>
        <w:t xml:space="preserve"> </w:t>
      </w:r>
      <w:r w:rsidR="008D21C0">
        <w:rPr>
          <w:b w:val="0"/>
          <w:spacing w:val="-1"/>
          <w:sz w:val="20"/>
          <w:szCs w:val="20"/>
        </w:rPr>
        <w:t xml:space="preserve">- </w:t>
      </w:r>
      <w:r w:rsidR="008D21C0" w:rsidRPr="008D21C0">
        <w:rPr>
          <w:b w:val="0"/>
          <w:spacing w:val="-1"/>
          <w:sz w:val="20"/>
          <w:szCs w:val="20"/>
        </w:rPr>
        <w:t>The new guidance has been written to help protect children living in Doncaster from the serious injuries that can be inflicted by dogs which are prohibited, dangerous or poorly managed.</w:t>
      </w:r>
      <w:r w:rsidR="006049FA">
        <w:rPr>
          <w:b w:val="0"/>
          <w:spacing w:val="-1"/>
          <w:sz w:val="20"/>
          <w:szCs w:val="20"/>
        </w:rPr>
        <w:t xml:space="preserve"> </w:t>
      </w:r>
      <w:r w:rsidR="008D21C0" w:rsidRPr="008D21C0">
        <w:rPr>
          <w:b w:val="0"/>
          <w:spacing w:val="-1"/>
          <w:sz w:val="20"/>
          <w:szCs w:val="20"/>
        </w:rPr>
        <w:t>The guidelines set out to explain and describe the following:</w:t>
      </w:r>
    </w:p>
    <w:p w:rsidR="008D21C0" w:rsidRPr="008D21C0" w:rsidRDefault="008D21C0" w:rsidP="008D21C0">
      <w:pPr>
        <w:pStyle w:val="Heading2"/>
        <w:ind w:left="140"/>
        <w:rPr>
          <w:b w:val="0"/>
          <w:spacing w:val="-1"/>
          <w:sz w:val="20"/>
          <w:szCs w:val="20"/>
        </w:rPr>
      </w:pPr>
    </w:p>
    <w:p w:rsidR="008D21C0" w:rsidRPr="008D21C0" w:rsidRDefault="008D21C0" w:rsidP="00B72345">
      <w:pPr>
        <w:pStyle w:val="Heading2"/>
        <w:numPr>
          <w:ilvl w:val="0"/>
          <w:numId w:val="3"/>
        </w:numPr>
        <w:rPr>
          <w:b w:val="0"/>
          <w:spacing w:val="-1"/>
          <w:sz w:val="20"/>
          <w:szCs w:val="20"/>
        </w:rPr>
      </w:pPr>
      <w:r w:rsidRPr="008D21C0">
        <w:rPr>
          <w:b w:val="0"/>
          <w:spacing w:val="-1"/>
          <w:sz w:val="20"/>
          <w:szCs w:val="20"/>
        </w:rPr>
        <w:t>The children most likely to be vulnerable to injuries inflicted by dogs;</w:t>
      </w:r>
    </w:p>
    <w:p w:rsidR="008D21C0" w:rsidRPr="008D21C0" w:rsidRDefault="008D21C0" w:rsidP="008D21C0">
      <w:pPr>
        <w:pStyle w:val="Heading2"/>
        <w:ind w:left="140"/>
        <w:rPr>
          <w:b w:val="0"/>
          <w:spacing w:val="-1"/>
          <w:sz w:val="20"/>
          <w:szCs w:val="20"/>
        </w:rPr>
      </w:pPr>
    </w:p>
    <w:p w:rsidR="008D21C0" w:rsidRPr="008D21C0" w:rsidRDefault="008D21C0" w:rsidP="00B72345">
      <w:pPr>
        <w:pStyle w:val="Heading2"/>
        <w:numPr>
          <w:ilvl w:val="0"/>
          <w:numId w:val="3"/>
        </w:numPr>
        <w:rPr>
          <w:b w:val="0"/>
          <w:spacing w:val="-1"/>
          <w:sz w:val="20"/>
          <w:szCs w:val="20"/>
        </w:rPr>
      </w:pPr>
      <w:r w:rsidRPr="008D21C0">
        <w:rPr>
          <w:b w:val="0"/>
          <w:spacing w:val="-1"/>
          <w:sz w:val="20"/>
          <w:szCs w:val="20"/>
        </w:rPr>
        <w:t>The dogs most likely to pose a danger to children;</w:t>
      </w:r>
    </w:p>
    <w:p w:rsidR="008D21C0" w:rsidRPr="008D21C0" w:rsidRDefault="008D21C0" w:rsidP="008D21C0">
      <w:pPr>
        <w:pStyle w:val="Heading2"/>
        <w:ind w:left="140"/>
        <w:rPr>
          <w:b w:val="0"/>
          <w:spacing w:val="-1"/>
          <w:sz w:val="20"/>
          <w:szCs w:val="20"/>
        </w:rPr>
      </w:pPr>
    </w:p>
    <w:p w:rsidR="008D21C0" w:rsidRDefault="008D21C0" w:rsidP="00B72345">
      <w:pPr>
        <w:pStyle w:val="Heading2"/>
        <w:numPr>
          <w:ilvl w:val="0"/>
          <w:numId w:val="3"/>
        </w:numPr>
        <w:rPr>
          <w:b w:val="0"/>
          <w:spacing w:val="-1"/>
          <w:sz w:val="20"/>
          <w:szCs w:val="20"/>
        </w:rPr>
      </w:pPr>
      <w:r w:rsidRPr="008D21C0">
        <w:rPr>
          <w:b w:val="0"/>
          <w:spacing w:val="-1"/>
          <w:sz w:val="20"/>
          <w:szCs w:val="20"/>
        </w:rPr>
        <w:t>The information that should be gathered when any child is injured by a dog and the criteria that should prompt a referral to the Doncaster Children’s Services Trust Referral and Response Team;</w:t>
      </w:r>
    </w:p>
    <w:p w:rsidR="00B72345" w:rsidRPr="008D21C0" w:rsidRDefault="00B72345" w:rsidP="008D21C0">
      <w:pPr>
        <w:pStyle w:val="Heading2"/>
        <w:ind w:left="140"/>
        <w:rPr>
          <w:b w:val="0"/>
          <w:spacing w:val="-1"/>
          <w:sz w:val="20"/>
          <w:szCs w:val="20"/>
        </w:rPr>
      </w:pPr>
    </w:p>
    <w:p w:rsidR="008D21C0" w:rsidRPr="008D21C0" w:rsidRDefault="008D21C0" w:rsidP="00B72345">
      <w:pPr>
        <w:pStyle w:val="Heading2"/>
        <w:numPr>
          <w:ilvl w:val="0"/>
          <w:numId w:val="3"/>
        </w:numPr>
        <w:rPr>
          <w:b w:val="0"/>
          <w:spacing w:val="-1"/>
          <w:sz w:val="20"/>
          <w:szCs w:val="20"/>
        </w:rPr>
      </w:pPr>
      <w:proofErr w:type="gramStart"/>
      <w:r w:rsidRPr="008D21C0">
        <w:rPr>
          <w:b w:val="0"/>
          <w:spacing w:val="-1"/>
          <w:sz w:val="20"/>
          <w:szCs w:val="20"/>
        </w:rPr>
        <w:t>The basis for an effective assessment of risk and the options for action that could be considered at Strategy Discussions or Child Protection Conferences.</w:t>
      </w:r>
      <w:proofErr w:type="gramEnd"/>
    </w:p>
    <w:p w:rsidR="008D21C0" w:rsidRPr="008D21C0" w:rsidRDefault="008D21C0" w:rsidP="008D21C0">
      <w:pPr>
        <w:pStyle w:val="Heading2"/>
        <w:ind w:left="140"/>
        <w:rPr>
          <w:b w:val="0"/>
          <w:spacing w:val="-1"/>
          <w:sz w:val="20"/>
          <w:szCs w:val="20"/>
        </w:rPr>
      </w:pPr>
    </w:p>
    <w:p w:rsidR="00B72345" w:rsidRDefault="008D21C0" w:rsidP="00B72345">
      <w:pPr>
        <w:pStyle w:val="Heading2"/>
        <w:ind w:left="140"/>
        <w:rPr>
          <w:b w:val="0"/>
          <w:spacing w:val="-1"/>
          <w:sz w:val="20"/>
          <w:szCs w:val="20"/>
        </w:rPr>
      </w:pPr>
      <w:r w:rsidRPr="008D21C0">
        <w:rPr>
          <w:b w:val="0"/>
          <w:spacing w:val="-1"/>
          <w:sz w:val="20"/>
          <w:szCs w:val="20"/>
        </w:rPr>
        <w:t xml:space="preserve">The guidance also contains a risk assessment tool for use by practitioners and a reference document </w:t>
      </w:r>
      <w:proofErr w:type="spellStart"/>
      <w:r w:rsidRPr="008D21C0">
        <w:rPr>
          <w:b w:val="0"/>
          <w:spacing w:val="-1"/>
          <w:sz w:val="20"/>
          <w:szCs w:val="20"/>
        </w:rPr>
        <w:t>summarising</w:t>
      </w:r>
      <w:proofErr w:type="spellEnd"/>
      <w:r w:rsidRPr="008D21C0">
        <w:rPr>
          <w:b w:val="0"/>
          <w:spacing w:val="-1"/>
          <w:sz w:val="20"/>
          <w:szCs w:val="20"/>
        </w:rPr>
        <w:t xml:space="preserve"> key signs of poor welfare in dogs.</w:t>
      </w:r>
    </w:p>
    <w:p w:rsidR="008D21C0" w:rsidRPr="008D21C0" w:rsidRDefault="00454A7E" w:rsidP="00B72345">
      <w:pPr>
        <w:pStyle w:val="Heading2"/>
        <w:ind w:left="0"/>
        <w:rPr>
          <w:b w:val="0"/>
          <w:spacing w:val="-1"/>
          <w:sz w:val="20"/>
          <w:szCs w:val="20"/>
        </w:rPr>
      </w:pPr>
      <w:hyperlink r:id="rId12" w:history="1">
        <w:r w:rsidR="008D21C0" w:rsidRPr="008D21C0">
          <w:rPr>
            <w:rStyle w:val="Hyperlink"/>
            <w:color w:val="00B0F0"/>
            <w:spacing w:val="-1"/>
            <w:sz w:val="20"/>
            <w:szCs w:val="20"/>
          </w:rPr>
          <w:t>Doncaster Multi-Agency Guidance for Preventing and Responding to Behaviours Which May Indicate Potential Suicide or Self Harm Clusters</w:t>
        </w:r>
      </w:hyperlink>
      <w:r w:rsidR="008D21C0">
        <w:rPr>
          <w:b w:val="0"/>
          <w:spacing w:val="-1"/>
        </w:rPr>
        <w:t xml:space="preserve"> - </w:t>
      </w:r>
      <w:r w:rsidR="008D21C0" w:rsidRPr="008D21C0">
        <w:rPr>
          <w:b w:val="0"/>
          <w:spacing w:val="-1"/>
          <w:sz w:val="20"/>
          <w:szCs w:val="20"/>
        </w:rPr>
        <w:t>This resource has been developed to assist agencies in Doncaster to manage or contain an actual or potential suicide cluster.  A suicide cluster is defined as a collection of suicides or behaviours which indicates a significant intent to die by suicide or self-harm. Research estimates that’s between 1 and 5% of all suicides by young people occur in the context of a cluster.</w:t>
      </w:r>
    </w:p>
    <w:p w:rsidR="008D21C0" w:rsidRPr="008D21C0" w:rsidRDefault="008D21C0" w:rsidP="008D21C0">
      <w:pPr>
        <w:pStyle w:val="Heading2"/>
        <w:rPr>
          <w:b w:val="0"/>
          <w:spacing w:val="-1"/>
          <w:sz w:val="20"/>
          <w:szCs w:val="20"/>
        </w:rPr>
      </w:pPr>
    </w:p>
    <w:p w:rsidR="006D55F5" w:rsidRDefault="008D21C0" w:rsidP="008D21C0">
      <w:pPr>
        <w:pStyle w:val="Heading2"/>
        <w:ind w:left="0"/>
        <w:rPr>
          <w:b w:val="0"/>
          <w:spacing w:val="-1"/>
          <w:sz w:val="20"/>
          <w:szCs w:val="20"/>
        </w:rPr>
      </w:pPr>
      <w:r w:rsidRPr="008D21C0">
        <w:rPr>
          <w:b w:val="0"/>
          <w:spacing w:val="-1"/>
          <w:sz w:val="20"/>
          <w:szCs w:val="20"/>
        </w:rPr>
        <w:t>The guidance describes how a community plan will be developed and implemented by members of the community and the services that support them in order to manage and contain any risk of ‘copycat suicidal acts’. The community plan might focus on a locality, a particular facility e.g. a school, hospital or youth club, or a rural or virtual community</w:t>
      </w:r>
      <w:r>
        <w:rPr>
          <w:b w:val="0"/>
          <w:spacing w:val="-1"/>
          <w:sz w:val="20"/>
          <w:szCs w:val="20"/>
        </w:rPr>
        <w:t>.</w:t>
      </w:r>
    </w:p>
    <w:p w:rsidR="008D21C0" w:rsidRDefault="008D21C0" w:rsidP="008D21C0">
      <w:pPr>
        <w:pStyle w:val="Heading2"/>
        <w:ind w:left="0"/>
        <w:rPr>
          <w:b w:val="0"/>
          <w:spacing w:val="-1"/>
          <w:sz w:val="20"/>
          <w:szCs w:val="20"/>
        </w:rPr>
      </w:pPr>
    </w:p>
    <w:p w:rsidR="008D21C0" w:rsidRPr="008D21C0" w:rsidRDefault="00454A7E" w:rsidP="008D21C0">
      <w:pPr>
        <w:pStyle w:val="Heading2"/>
        <w:ind w:left="0"/>
        <w:rPr>
          <w:b w:val="0"/>
          <w:spacing w:val="-1"/>
          <w:sz w:val="20"/>
          <w:szCs w:val="20"/>
        </w:rPr>
      </w:pPr>
      <w:hyperlink r:id="rId13" w:history="1">
        <w:r w:rsidR="008D21C0" w:rsidRPr="008D21C0">
          <w:rPr>
            <w:rStyle w:val="Hyperlink"/>
            <w:color w:val="00B0F0"/>
            <w:spacing w:val="-1"/>
            <w:sz w:val="20"/>
            <w:szCs w:val="20"/>
          </w:rPr>
          <w:t>Whistleblowing or Raising Concerns at Work</w:t>
        </w:r>
      </w:hyperlink>
      <w:r w:rsidR="008D21C0">
        <w:rPr>
          <w:b w:val="0"/>
          <w:spacing w:val="-1"/>
          <w:sz w:val="20"/>
          <w:szCs w:val="20"/>
        </w:rPr>
        <w:t xml:space="preserve">- </w:t>
      </w:r>
      <w:r w:rsidR="008D21C0" w:rsidRPr="008D21C0">
        <w:rPr>
          <w:b w:val="0"/>
          <w:spacing w:val="-1"/>
          <w:sz w:val="20"/>
          <w:szCs w:val="20"/>
        </w:rPr>
        <w:t>This new chapter provides guidance for staff and volunteers who are concerned about poor practice or possible malpractice in the workplace. It explains the legal requirements for whistleblowing and lists sources of advice and support for staff or volunteers who have any concerns.</w:t>
      </w:r>
    </w:p>
    <w:p w:rsidR="008D21C0" w:rsidRDefault="008D21C0" w:rsidP="008D21C0">
      <w:pPr>
        <w:pStyle w:val="Heading2"/>
        <w:ind w:left="0"/>
        <w:rPr>
          <w:b w:val="0"/>
          <w:spacing w:val="-1"/>
        </w:rPr>
      </w:pPr>
    </w:p>
    <w:p w:rsidR="008D21C0" w:rsidRPr="008D21C0" w:rsidRDefault="008D21C0" w:rsidP="008D21C0">
      <w:pPr>
        <w:pStyle w:val="Heading2"/>
        <w:ind w:left="0"/>
        <w:rPr>
          <w:b w:val="0"/>
          <w:spacing w:val="-1"/>
        </w:rPr>
      </w:pPr>
    </w:p>
    <w:p w:rsidR="00A94CF5" w:rsidRDefault="003E3C88">
      <w:pPr>
        <w:pStyle w:val="Heading2"/>
        <w:ind w:left="140"/>
        <w:rPr>
          <w:b w:val="0"/>
          <w:bCs w:val="0"/>
        </w:rPr>
      </w:pPr>
      <w:r w:rsidRPr="00AF3B1B">
        <w:rPr>
          <w:spacing w:val="-1"/>
        </w:rPr>
        <w:t>Updated</w:t>
      </w:r>
      <w:r w:rsidRPr="00AF3B1B">
        <w:rPr>
          <w:spacing w:val="-15"/>
        </w:rPr>
        <w:t xml:space="preserve"> </w:t>
      </w:r>
      <w:r w:rsidRPr="00AF3B1B">
        <w:rPr>
          <w:spacing w:val="-1"/>
        </w:rPr>
        <w:t>Chapters:</w:t>
      </w:r>
    </w:p>
    <w:p w:rsidR="00AF3B1B" w:rsidRDefault="00AF3B1B">
      <w:pPr>
        <w:spacing w:before="6"/>
        <w:rPr>
          <w:rFonts w:ascii="Calibri" w:eastAsia="Calibri" w:hAnsi="Calibri" w:cs="Calibri"/>
          <w:b/>
          <w:bCs/>
          <w:sz w:val="20"/>
          <w:szCs w:val="20"/>
        </w:rPr>
      </w:pPr>
    </w:p>
    <w:p w:rsidR="00AF3B1B" w:rsidRPr="00AF3B1B" w:rsidRDefault="00454A7E" w:rsidP="00AF3B1B">
      <w:pPr>
        <w:spacing w:before="6"/>
        <w:rPr>
          <w:rFonts w:ascii="Calibri" w:eastAsia="Calibri" w:hAnsi="Calibri" w:cs="Calibri"/>
          <w:bCs/>
          <w:sz w:val="20"/>
          <w:szCs w:val="20"/>
        </w:rPr>
      </w:pPr>
      <w:hyperlink r:id="rId14" w:history="1">
        <w:r w:rsidR="00AF3B1B" w:rsidRPr="00AF3B1B">
          <w:rPr>
            <w:rStyle w:val="Hyperlink"/>
            <w:rFonts w:ascii="Calibri" w:eastAsia="Calibri" w:hAnsi="Calibri" w:cs="Calibri"/>
            <w:b/>
            <w:bCs/>
            <w:color w:val="00B0F0"/>
            <w:sz w:val="20"/>
            <w:szCs w:val="20"/>
          </w:rPr>
          <w:t>Doncaster Children's Services Trust or Police Action Following a Referral</w:t>
        </w:r>
      </w:hyperlink>
      <w:r w:rsidR="00AF3B1B" w:rsidRPr="00AF3B1B">
        <w:rPr>
          <w:rFonts w:ascii="Calibri" w:eastAsia="Calibri" w:hAnsi="Calibri" w:cs="Calibri"/>
          <w:b/>
          <w:bCs/>
          <w:color w:val="00B0F0"/>
          <w:sz w:val="20"/>
          <w:szCs w:val="20"/>
        </w:rPr>
        <w:t xml:space="preserve"> </w:t>
      </w:r>
      <w:r w:rsidR="00AF3B1B">
        <w:rPr>
          <w:rFonts w:ascii="Calibri" w:eastAsia="Calibri" w:hAnsi="Calibri" w:cs="Calibri"/>
          <w:b/>
          <w:bCs/>
          <w:sz w:val="20"/>
          <w:szCs w:val="20"/>
        </w:rPr>
        <w:t xml:space="preserve">- </w:t>
      </w:r>
      <w:r w:rsidR="00AF3B1B" w:rsidRPr="00AF3B1B">
        <w:rPr>
          <w:rFonts w:ascii="Calibri" w:eastAsia="Calibri" w:hAnsi="Calibri" w:cs="Calibri"/>
          <w:bCs/>
          <w:sz w:val="20"/>
          <w:szCs w:val="20"/>
        </w:rPr>
        <w:t>Section 16 Agency Checks has been updated to include additional detail on the checks which the Social Worker must undertake in the course of the Ch</w:t>
      </w:r>
      <w:r w:rsidR="00B72345">
        <w:rPr>
          <w:rFonts w:ascii="Calibri" w:eastAsia="Calibri" w:hAnsi="Calibri" w:cs="Calibri"/>
          <w:bCs/>
          <w:sz w:val="20"/>
          <w:szCs w:val="20"/>
        </w:rPr>
        <w:t xml:space="preserve">ildren and Families Assessment. </w:t>
      </w:r>
      <w:r w:rsidR="00AF3B1B" w:rsidRPr="00AF3B1B">
        <w:rPr>
          <w:rFonts w:ascii="Calibri" w:eastAsia="Calibri" w:hAnsi="Calibri" w:cs="Calibri"/>
          <w:bCs/>
          <w:sz w:val="20"/>
          <w:szCs w:val="20"/>
        </w:rPr>
        <w:t>Checks must be made with all agencies that may have relevant information about the child and their family, including the Police, Health, Education services and other relevant community services.</w:t>
      </w:r>
    </w:p>
    <w:p w:rsidR="00AF3B1B" w:rsidRPr="00AF3B1B" w:rsidRDefault="00AF3B1B" w:rsidP="00AF3B1B">
      <w:pPr>
        <w:spacing w:before="6"/>
        <w:rPr>
          <w:rFonts w:ascii="Calibri" w:eastAsia="Calibri" w:hAnsi="Calibri" w:cs="Calibri"/>
          <w:bCs/>
          <w:sz w:val="20"/>
          <w:szCs w:val="20"/>
        </w:rPr>
      </w:pPr>
    </w:p>
    <w:p w:rsidR="00AF3B1B" w:rsidRDefault="00AF3B1B" w:rsidP="00AF3B1B">
      <w:pPr>
        <w:spacing w:before="6"/>
        <w:rPr>
          <w:rFonts w:ascii="Calibri" w:eastAsia="Calibri" w:hAnsi="Calibri" w:cs="Calibri"/>
          <w:bCs/>
          <w:sz w:val="20"/>
          <w:szCs w:val="20"/>
        </w:rPr>
      </w:pPr>
      <w:r w:rsidRPr="00AF3B1B">
        <w:rPr>
          <w:rFonts w:ascii="Calibri" w:eastAsia="Calibri" w:hAnsi="Calibri" w:cs="Calibri"/>
          <w:bCs/>
          <w:sz w:val="20"/>
          <w:szCs w:val="20"/>
        </w:rPr>
        <w:t>The diversity of health services and provision in Doncaster means that it should not be assumed that a universal health professional such as a Health Visitor or School Nurse is in possession of all available health information. All efforts should therefore be made to ensure all relevant health information is collated, including GP records, hospital records (via the Named Nurse Safeguarding team on 01302 642437) and adult services for information that is held. Unless this is done, the Section 47 Enquiry may miss crucial information relating to the child or family’s contact with different parts of the health community.</w:t>
      </w:r>
    </w:p>
    <w:p w:rsidR="003169B7" w:rsidRDefault="003169B7" w:rsidP="00AF3B1B">
      <w:pPr>
        <w:spacing w:before="6"/>
        <w:rPr>
          <w:rFonts w:ascii="Calibri" w:eastAsia="Calibri" w:hAnsi="Calibri" w:cs="Calibri"/>
          <w:bCs/>
          <w:sz w:val="20"/>
          <w:szCs w:val="20"/>
        </w:rPr>
      </w:pPr>
    </w:p>
    <w:p w:rsidR="003169B7" w:rsidRDefault="00454A7E" w:rsidP="00AF3B1B">
      <w:pPr>
        <w:spacing w:before="6"/>
        <w:rPr>
          <w:rFonts w:ascii="Calibri" w:eastAsia="Calibri" w:hAnsi="Calibri" w:cs="Calibri"/>
          <w:bCs/>
          <w:sz w:val="20"/>
          <w:szCs w:val="20"/>
        </w:rPr>
      </w:pPr>
      <w:hyperlink r:id="rId15" w:history="1">
        <w:r w:rsidR="003169B7" w:rsidRPr="00370A73">
          <w:rPr>
            <w:rStyle w:val="Hyperlink"/>
            <w:rFonts w:ascii="Calibri" w:eastAsia="Calibri" w:hAnsi="Calibri" w:cs="Calibri"/>
            <w:b/>
            <w:bCs/>
            <w:color w:val="00B0F0"/>
            <w:sz w:val="20"/>
            <w:szCs w:val="20"/>
          </w:rPr>
          <w:t>Bullying</w:t>
        </w:r>
      </w:hyperlink>
      <w:r w:rsidR="003169B7">
        <w:rPr>
          <w:rFonts w:ascii="Calibri" w:eastAsia="Calibri" w:hAnsi="Calibri" w:cs="Calibri"/>
          <w:bCs/>
          <w:sz w:val="20"/>
          <w:szCs w:val="20"/>
        </w:rPr>
        <w:t xml:space="preserve"> - </w:t>
      </w:r>
      <w:r w:rsidR="003169B7" w:rsidRPr="003169B7">
        <w:rPr>
          <w:rFonts w:ascii="Calibri" w:eastAsia="Calibri" w:hAnsi="Calibri" w:cs="Calibri"/>
          <w:bCs/>
          <w:sz w:val="20"/>
          <w:szCs w:val="20"/>
        </w:rPr>
        <w:t xml:space="preserve">This chapter has been updated to include links to Department for Education Resources for Parents and Schools on </w:t>
      </w:r>
      <w:proofErr w:type="spellStart"/>
      <w:r w:rsidR="003169B7" w:rsidRPr="003169B7">
        <w:rPr>
          <w:rFonts w:ascii="Calibri" w:eastAsia="Calibri" w:hAnsi="Calibri" w:cs="Calibri"/>
          <w:bCs/>
          <w:sz w:val="20"/>
          <w:szCs w:val="20"/>
        </w:rPr>
        <w:t>cyberbulling</w:t>
      </w:r>
      <w:proofErr w:type="spellEnd"/>
      <w:r w:rsidR="003169B7" w:rsidRPr="003169B7">
        <w:rPr>
          <w:rFonts w:ascii="Calibri" w:eastAsia="Calibri" w:hAnsi="Calibri" w:cs="Calibri"/>
          <w:bCs/>
          <w:sz w:val="20"/>
          <w:szCs w:val="20"/>
        </w:rPr>
        <w:t>. Section 6</w:t>
      </w:r>
      <w:r w:rsidR="00B72345">
        <w:rPr>
          <w:rFonts w:ascii="Calibri" w:eastAsia="Calibri" w:hAnsi="Calibri" w:cs="Calibri"/>
          <w:bCs/>
          <w:sz w:val="20"/>
          <w:szCs w:val="20"/>
        </w:rPr>
        <w:t xml:space="preserve"> Specialist </w:t>
      </w:r>
      <w:proofErr w:type="spellStart"/>
      <w:r w:rsidR="00B72345">
        <w:rPr>
          <w:rFonts w:ascii="Calibri" w:eastAsia="Calibri" w:hAnsi="Calibri" w:cs="Calibri"/>
          <w:bCs/>
          <w:sz w:val="20"/>
          <w:szCs w:val="20"/>
        </w:rPr>
        <w:t>Organisations</w:t>
      </w:r>
      <w:proofErr w:type="spellEnd"/>
      <w:r w:rsidR="00B72345">
        <w:rPr>
          <w:rFonts w:ascii="Calibri" w:eastAsia="Calibri" w:hAnsi="Calibri" w:cs="Calibri"/>
          <w:bCs/>
          <w:sz w:val="20"/>
          <w:szCs w:val="20"/>
        </w:rPr>
        <w:t xml:space="preserve"> is </w:t>
      </w:r>
      <w:r w:rsidR="003169B7" w:rsidRPr="003169B7">
        <w:rPr>
          <w:rFonts w:ascii="Calibri" w:eastAsia="Calibri" w:hAnsi="Calibri" w:cs="Calibri"/>
          <w:bCs/>
          <w:sz w:val="20"/>
          <w:szCs w:val="20"/>
        </w:rPr>
        <w:t xml:space="preserve">new and contains links to a range of national </w:t>
      </w:r>
      <w:proofErr w:type="spellStart"/>
      <w:r w:rsidR="003169B7" w:rsidRPr="003169B7">
        <w:rPr>
          <w:rFonts w:ascii="Calibri" w:eastAsia="Calibri" w:hAnsi="Calibri" w:cs="Calibri"/>
          <w:bCs/>
          <w:sz w:val="20"/>
          <w:szCs w:val="20"/>
        </w:rPr>
        <w:t>anti bullying</w:t>
      </w:r>
      <w:proofErr w:type="spellEnd"/>
      <w:r w:rsidR="003169B7" w:rsidRPr="003169B7">
        <w:rPr>
          <w:rFonts w:ascii="Calibri" w:eastAsia="Calibri" w:hAnsi="Calibri" w:cs="Calibri"/>
          <w:bCs/>
          <w:sz w:val="20"/>
          <w:szCs w:val="20"/>
        </w:rPr>
        <w:t xml:space="preserve"> </w:t>
      </w:r>
      <w:proofErr w:type="spellStart"/>
      <w:r w:rsidR="003169B7" w:rsidRPr="003169B7">
        <w:rPr>
          <w:rFonts w:ascii="Calibri" w:eastAsia="Calibri" w:hAnsi="Calibri" w:cs="Calibri"/>
          <w:bCs/>
          <w:sz w:val="20"/>
          <w:szCs w:val="20"/>
        </w:rPr>
        <w:t>organisations</w:t>
      </w:r>
      <w:proofErr w:type="spellEnd"/>
      <w:r w:rsidR="003169B7" w:rsidRPr="003169B7">
        <w:rPr>
          <w:rFonts w:ascii="Calibri" w:eastAsia="Calibri" w:hAnsi="Calibri" w:cs="Calibri"/>
          <w:bCs/>
          <w:sz w:val="20"/>
          <w:szCs w:val="20"/>
        </w:rPr>
        <w:t>, including links to specialist support in relation to young people with Special Educational Needs or Disabilities who are bullied, LGBT young people and online bullying.</w:t>
      </w:r>
    </w:p>
    <w:p w:rsidR="00370A73" w:rsidRDefault="00370A73" w:rsidP="00AF3B1B">
      <w:pPr>
        <w:spacing w:before="6"/>
        <w:rPr>
          <w:rFonts w:ascii="Calibri" w:eastAsia="Calibri" w:hAnsi="Calibri" w:cs="Calibri"/>
          <w:bCs/>
          <w:sz w:val="20"/>
          <w:szCs w:val="20"/>
        </w:rPr>
      </w:pPr>
    </w:p>
    <w:p w:rsidR="00A94CF5" w:rsidRDefault="00454A7E" w:rsidP="00370A73">
      <w:pPr>
        <w:spacing w:before="6"/>
        <w:rPr>
          <w:rFonts w:ascii="Calibri" w:eastAsia="Calibri" w:hAnsi="Calibri" w:cs="Calibri"/>
          <w:sz w:val="16"/>
          <w:szCs w:val="16"/>
        </w:rPr>
      </w:pPr>
      <w:hyperlink r:id="rId16" w:history="1">
        <w:r w:rsidR="00370A73" w:rsidRPr="00370A73">
          <w:rPr>
            <w:rStyle w:val="Hyperlink"/>
            <w:rFonts w:ascii="Calibri" w:eastAsia="Calibri" w:hAnsi="Calibri" w:cs="Calibri"/>
            <w:b/>
            <w:bCs/>
            <w:color w:val="00B0F0"/>
            <w:sz w:val="20"/>
            <w:szCs w:val="20"/>
          </w:rPr>
          <w:t>Domestic Violence and Abuse</w:t>
        </w:r>
      </w:hyperlink>
      <w:r w:rsidR="00370A73">
        <w:rPr>
          <w:rFonts w:ascii="Calibri" w:eastAsia="Calibri" w:hAnsi="Calibri" w:cs="Calibri"/>
          <w:bCs/>
          <w:sz w:val="20"/>
          <w:szCs w:val="20"/>
        </w:rPr>
        <w:t xml:space="preserve"> - </w:t>
      </w:r>
      <w:r w:rsidR="00370A73" w:rsidRPr="00370A73">
        <w:rPr>
          <w:rFonts w:ascii="Calibri" w:eastAsia="Calibri" w:hAnsi="Calibri" w:cs="Calibri"/>
          <w:sz w:val="20"/>
          <w:szCs w:val="20"/>
        </w:rPr>
        <w:t>Section 10, Safety Planning is new, and offers advice on safety planning with victims in a range of circumstances, including when victims leave the home or when they decided</w:t>
      </w:r>
      <w:r w:rsidR="00370A73" w:rsidRPr="00370A73">
        <w:rPr>
          <w:sz w:val="20"/>
          <w:szCs w:val="20"/>
        </w:rPr>
        <w:t xml:space="preserve"> </w:t>
      </w:r>
      <w:r w:rsidR="00370A73" w:rsidRPr="00370A73">
        <w:rPr>
          <w:rFonts w:ascii="Calibri" w:eastAsia="Calibri" w:hAnsi="Calibri" w:cs="Calibri"/>
          <w:sz w:val="20"/>
          <w:szCs w:val="20"/>
        </w:rPr>
        <w:t>to stay with the perpetrator</w:t>
      </w:r>
      <w:r w:rsidR="00370A73">
        <w:rPr>
          <w:rFonts w:ascii="Calibri" w:eastAsia="Calibri" w:hAnsi="Calibri" w:cs="Calibri"/>
          <w:sz w:val="16"/>
          <w:szCs w:val="16"/>
        </w:rPr>
        <w:t>.</w:t>
      </w:r>
    </w:p>
    <w:p w:rsidR="00370A73" w:rsidRDefault="00370A73" w:rsidP="00370A73">
      <w:pPr>
        <w:spacing w:before="6"/>
        <w:rPr>
          <w:rFonts w:ascii="Calibri" w:eastAsia="Calibri" w:hAnsi="Calibri" w:cs="Calibri"/>
          <w:sz w:val="16"/>
          <w:szCs w:val="16"/>
        </w:rPr>
      </w:pPr>
    </w:p>
    <w:p w:rsidR="00784BAF" w:rsidRDefault="00784BAF" w:rsidP="00370A73">
      <w:pPr>
        <w:spacing w:before="6"/>
        <w:rPr>
          <w:rFonts w:ascii="Calibri" w:eastAsia="Calibri" w:hAnsi="Calibri" w:cs="Calibri"/>
          <w:sz w:val="16"/>
          <w:szCs w:val="16"/>
        </w:rPr>
      </w:pPr>
    </w:p>
    <w:p w:rsidR="00370A73" w:rsidRDefault="00454A7E" w:rsidP="00370A73">
      <w:pPr>
        <w:spacing w:before="6"/>
        <w:rPr>
          <w:rFonts w:ascii="Calibri" w:eastAsia="Calibri" w:hAnsi="Calibri" w:cs="Calibri"/>
          <w:bCs/>
          <w:sz w:val="20"/>
          <w:szCs w:val="20"/>
        </w:rPr>
      </w:pPr>
      <w:hyperlink r:id="rId17" w:history="1">
        <w:r w:rsidR="00784BAF" w:rsidRPr="00784BAF">
          <w:rPr>
            <w:rStyle w:val="Hyperlink"/>
            <w:rFonts w:ascii="Calibri" w:eastAsia="Calibri" w:hAnsi="Calibri" w:cs="Calibri"/>
            <w:b/>
            <w:bCs/>
            <w:color w:val="00B0F0"/>
            <w:sz w:val="20"/>
            <w:szCs w:val="20"/>
          </w:rPr>
          <w:t>Safeguarding Unborn Babies</w:t>
        </w:r>
      </w:hyperlink>
      <w:r w:rsidR="00784BAF">
        <w:rPr>
          <w:rFonts w:ascii="Calibri" w:eastAsia="Calibri" w:hAnsi="Calibri" w:cs="Calibri"/>
          <w:bCs/>
          <w:sz w:val="20"/>
          <w:szCs w:val="20"/>
        </w:rPr>
        <w:t xml:space="preserve">- </w:t>
      </w:r>
      <w:r w:rsidR="00784BAF" w:rsidRPr="00784BAF">
        <w:rPr>
          <w:rFonts w:ascii="Calibri" w:eastAsia="Calibri" w:hAnsi="Calibri" w:cs="Calibri"/>
          <w:bCs/>
          <w:sz w:val="20"/>
          <w:szCs w:val="20"/>
        </w:rPr>
        <w:t>Section 2, Pre Birth Referral and Assessment has been updated to include information on Pregnancy Liaison Meetings. Cases of concern can be heard at the Pregnancy Liaison Meeting, from the point of professionals becoming aware of the birth to 16 weeks gestation and prior to a referral being made. The purpose of the Pregnancy Liaison Meeting is to provide a pathway which will offer information and advice to professionals, to ensure that pregnant women are enabled to access support services at the right stage in pregnancy.</w:t>
      </w:r>
    </w:p>
    <w:p w:rsidR="00784BAF" w:rsidRDefault="00784BAF" w:rsidP="00370A73">
      <w:pPr>
        <w:spacing w:before="6"/>
        <w:rPr>
          <w:rFonts w:ascii="Calibri" w:eastAsia="Calibri" w:hAnsi="Calibri" w:cs="Calibri"/>
          <w:bCs/>
          <w:sz w:val="20"/>
          <w:szCs w:val="20"/>
        </w:rPr>
      </w:pPr>
    </w:p>
    <w:p w:rsidR="00784BAF" w:rsidRDefault="00454A7E" w:rsidP="00370A73">
      <w:pPr>
        <w:spacing w:before="6"/>
        <w:rPr>
          <w:rFonts w:ascii="Calibri" w:eastAsia="Calibri" w:hAnsi="Calibri" w:cs="Calibri"/>
          <w:bCs/>
          <w:sz w:val="20"/>
          <w:szCs w:val="20"/>
        </w:rPr>
      </w:pPr>
      <w:hyperlink r:id="rId18" w:history="1">
        <w:r w:rsidR="00784BAF" w:rsidRPr="00784BAF">
          <w:rPr>
            <w:rStyle w:val="Hyperlink"/>
            <w:rFonts w:ascii="Calibri" w:eastAsia="Calibri" w:hAnsi="Calibri" w:cs="Calibri"/>
            <w:b/>
            <w:bCs/>
            <w:color w:val="00B0F0"/>
            <w:sz w:val="20"/>
            <w:szCs w:val="20"/>
          </w:rPr>
          <w:t xml:space="preserve">Safeguarding Children and Young People against </w:t>
        </w:r>
        <w:proofErr w:type="spellStart"/>
        <w:r w:rsidR="00784BAF" w:rsidRPr="00784BAF">
          <w:rPr>
            <w:rStyle w:val="Hyperlink"/>
            <w:rFonts w:ascii="Calibri" w:eastAsia="Calibri" w:hAnsi="Calibri" w:cs="Calibri"/>
            <w:b/>
            <w:bCs/>
            <w:color w:val="00B0F0"/>
            <w:sz w:val="20"/>
            <w:szCs w:val="20"/>
          </w:rPr>
          <w:t>Radicalisation</w:t>
        </w:r>
        <w:proofErr w:type="spellEnd"/>
        <w:r w:rsidR="00784BAF" w:rsidRPr="00784BAF">
          <w:rPr>
            <w:rStyle w:val="Hyperlink"/>
            <w:rFonts w:ascii="Calibri" w:eastAsia="Calibri" w:hAnsi="Calibri" w:cs="Calibri"/>
            <w:b/>
            <w:bCs/>
            <w:color w:val="00B0F0"/>
            <w:sz w:val="20"/>
            <w:szCs w:val="20"/>
          </w:rPr>
          <w:t xml:space="preserve"> and Violent Extremism</w:t>
        </w:r>
      </w:hyperlink>
      <w:r w:rsidR="00784BAF">
        <w:rPr>
          <w:rFonts w:ascii="Calibri" w:eastAsia="Calibri" w:hAnsi="Calibri" w:cs="Calibri"/>
          <w:bCs/>
          <w:sz w:val="20"/>
          <w:szCs w:val="20"/>
        </w:rPr>
        <w:t xml:space="preserve"> - </w:t>
      </w:r>
      <w:r w:rsidR="00784BAF" w:rsidRPr="00784BAF">
        <w:rPr>
          <w:rFonts w:ascii="Calibri" w:eastAsia="Calibri" w:hAnsi="Calibri" w:cs="Calibri"/>
          <w:bCs/>
          <w:sz w:val="20"/>
          <w:szCs w:val="20"/>
        </w:rPr>
        <w:t>Section 5 Issues has been updated to include a link to the Gov.uk website which can be used to report online material promoting terrorism or extremism.</w:t>
      </w:r>
    </w:p>
    <w:p w:rsidR="00784BAF" w:rsidRDefault="00784BAF" w:rsidP="00370A73">
      <w:pPr>
        <w:spacing w:before="6"/>
        <w:rPr>
          <w:rFonts w:ascii="Calibri" w:eastAsia="Calibri" w:hAnsi="Calibri" w:cs="Calibri"/>
          <w:bCs/>
          <w:sz w:val="20"/>
          <w:szCs w:val="20"/>
        </w:rPr>
      </w:pPr>
    </w:p>
    <w:p w:rsidR="00784BAF" w:rsidRDefault="00454A7E" w:rsidP="00784BAF">
      <w:pPr>
        <w:spacing w:before="6"/>
        <w:rPr>
          <w:rFonts w:ascii="Calibri" w:eastAsia="Calibri" w:hAnsi="Calibri" w:cs="Calibri"/>
          <w:bCs/>
          <w:sz w:val="20"/>
          <w:szCs w:val="20"/>
        </w:rPr>
      </w:pPr>
      <w:hyperlink r:id="rId19" w:history="1">
        <w:r w:rsidR="00784BAF" w:rsidRPr="00784BAF">
          <w:rPr>
            <w:rStyle w:val="Hyperlink"/>
            <w:rFonts w:ascii="Calibri" w:eastAsia="Calibri" w:hAnsi="Calibri" w:cs="Calibri"/>
            <w:b/>
            <w:bCs/>
            <w:color w:val="00B0F0"/>
            <w:sz w:val="20"/>
            <w:szCs w:val="20"/>
          </w:rPr>
          <w:t xml:space="preserve">Procedure for Responding to Allegations against Staff, </w:t>
        </w:r>
        <w:proofErr w:type="spellStart"/>
        <w:r w:rsidR="00784BAF" w:rsidRPr="00784BAF">
          <w:rPr>
            <w:rStyle w:val="Hyperlink"/>
            <w:rFonts w:ascii="Calibri" w:eastAsia="Calibri" w:hAnsi="Calibri" w:cs="Calibri"/>
            <w:b/>
            <w:bCs/>
            <w:color w:val="00B0F0"/>
            <w:sz w:val="20"/>
            <w:szCs w:val="20"/>
          </w:rPr>
          <w:t>Carers</w:t>
        </w:r>
        <w:proofErr w:type="spellEnd"/>
        <w:r w:rsidR="00784BAF" w:rsidRPr="00784BAF">
          <w:rPr>
            <w:rStyle w:val="Hyperlink"/>
            <w:rFonts w:ascii="Calibri" w:eastAsia="Calibri" w:hAnsi="Calibri" w:cs="Calibri"/>
            <w:b/>
            <w:bCs/>
            <w:color w:val="00B0F0"/>
            <w:sz w:val="20"/>
            <w:szCs w:val="20"/>
          </w:rPr>
          <w:t xml:space="preserve"> and Volunteers</w:t>
        </w:r>
      </w:hyperlink>
      <w:r w:rsidR="00784BAF">
        <w:rPr>
          <w:rFonts w:ascii="Calibri" w:eastAsia="Calibri" w:hAnsi="Calibri" w:cs="Calibri"/>
          <w:bCs/>
          <w:sz w:val="20"/>
          <w:szCs w:val="20"/>
        </w:rPr>
        <w:t xml:space="preserve"> -</w:t>
      </w:r>
      <w:r w:rsidR="00784BAF" w:rsidRPr="00784BAF">
        <w:t xml:space="preserve"> </w:t>
      </w:r>
      <w:r w:rsidR="00784BAF" w:rsidRPr="00784BAF">
        <w:rPr>
          <w:rFonts w:ascii="Calibri" w:eastAsia="Calibri" w:hAnsi="Calibri" w:cs="Calibri"/>
          <w:bCs/>
          <w:sz w:val="20"/>
          <w:szCs w:val="20"/>
        </w:rPr>
        <w:t xml:space="preserve">This guidance has been reviewed locally and updated throughout as required to reflect current local practice in responding to allegations against staff, </w:t>
      </w:r>
      <w:proofErr w:type="spellStart"/>
      <w:r w:rsidR="00784BAF" w:rsidRPr="00784BAF">
        <w:rPr>
          <w:rFonts w:ascii="Calibri" w:eastAsia="Calibri" w:hAnsi="Calibri" w:cs="Calibri"/>
          <w:bCs/>
          <w:sz w:val="20"/>
          <w:szCs w:val="20"/>
        </w:rPr>
        <w:t>carers</w:t>
      </w:r>
      <w:proofErr w:type="spellEnd"/>
      <w:r w:rsidR="00784BAF" w:rsidRPr="00784BAF">
        <w:rPr>
          <w:rFonts w:ascii="Calibri" w:eastAsia="Calibri" w:hAnsi="Calibri" w:cs="Calibri"/>
          <w:bCs/>
          <w:sz w:val="20"/>
          <w:szCs w:val="20"/>
        </w:rPr>
        <w:t xml:space="preserve"> and volunteers.</w:t>
      </w:r>
      <w:r w:rsidR="00B72345">
        <w:rPr>
          <w:rFonts w:ascii="Calibri" w:eastAsia="Calibri" w:hAnsi="Calibri" w:cs="Calibri"/>
          <w:bCs/>
          <w:sz w:val="20"/>
          <w:szCs w:val="20"/>
        </w:rPr>
        <w:t xml:space="preserve"> </w:t>
      </w:r>
      <w:r w:rsidR="00784BAF" w:rsidRPr="00784BAF">
        <w:rPr>
          <w:rFonts w:ascii="Calibri" w:eastAsia="Calibri" w:hAnsi="Calibri" w:cs="Calibri"/>
          <w:bCs/>
          <w:sz w:val="20"/>
          <w:szCs w:val="20"/>
        </w:rPr>
        <w:t xml:space="preserve">Additional information </w:t>
      </w:r>
      <w:r w:rsidR="00784BAF">
        <w:rPr>
          <w:rFonts w:ascii="Calibri" w:eastAsia="Calibri" w:hAnsi="Calibri" w:cs="Calibri"/>
          <w:bCs/>
          <w:sz w:val="20"/>
          <w:szCs w:val="20"/>
        </w:rPr>
        <w:t xml:space="preserve">has been </w:t>
      </w:r>
      <w:r w:rsidR="00B72345">
        <w:rPr>
          <w:rFonts w:ascii="Calibri" w:eastAsia="Calibri" w:hAnsi="Calibri" w:cs="Calibri"/>
          <w:bCs/>
          <w:sz w:val="20"/>
          <w:szCs w:val="20"/>
        </w:rPr>
        <w:t xml:space="preserve">added into Section 1, </w:t>
      </w:r>
      <w:r w:rsidR="00784BAF" w:rsidRPr="00784BAF">
        <w:rPr>
          <w:rFonts w:ascii="Calibri" w:eastAsia="Calibri" w:hAnsi="Calibri" w:cs="Calibri"/>
          <w:bCs/>
          <w:sz w:val="20"/>
          <w:szCs w:val="20"/>
        </w:rPr>
        <w:t>confirming the circumstances when these procedures should be applied.  Section 15 Record Keeping has been updated to reinforce the importance of confidentiality when recording information about allegations on the child’s and adult’s files an</w:t>
      </w:r>
      <w:r w:rsidR="00784BAF">
        <w:rPr>
          <w:rFonts w:ascii="Calibri" w:eastAsia="Calibri" w:hAnsi="Calibri" w:cs="Calibri"/>
          <w:bCs/>
          <w:sz w:val="20"/>
          <w:szCs w:val="20"/>
        </w:rPr>
        <w:t xml:space="preserve">d to confirm retention periods. </w:t>
      </w:r>
      <w:r w:rsidR="00784BAF" w:rsidRPr="00784BAF">
        <w:rPr>
          <w:rFonts w:ascii="Calibri" w:eastAsia="Calibri" w:hAnsi="Calibri" w:cs="Calibri"/>
          <w:bCs/>
          <w:sz w:val="20"/>
          <w:szCs w:val="20"/>
        </w:rPr>
        <w:t>A link to the LADO Referral Form has also been added.</w:t>
      </w:r>
    </w:p>
    <w:p w:rsidR="006D55F5" w:rsidRDefault="006D55F5" w:rsidP="00784BAF">
      <w:pPr>
        <w:spacing w:before="6"/>
        <w:rPr>
          <w:rFonts w:ascii="Calibri" w:eastAsia="Calibri" w:hAnsi="Calibri" w:cs="Calibri"/>
          <w:bCs/>
          <w:sz w:val="20"/>
          <w:szCs w:val="20"/>
        </w:rPr>
      </w:pPr>
    </w:p>
    <w:p w:rsidR="006D55F5" w:rsidRPr="006D55F5" w:rsidRDefault="00454A7E" w:rsidP="006D55F5">
      <w:pPr>
        <w:spacing w:before="6"/>
        <w:rPr>
          <w:rFonts w:ascii="Calibri" w:eastAsia="Calibri" w:hAnsi="Calibri" w:cs="Calibri"/>
          <w:bCs/>
          <w:sz w:val="20"/>
          <w:szCs w:val="20"/>
        </w:rPr>
      </w:pPr>
      <w:hyperlink r:id="rId20" w:history="1">
        <w:r w:rsidR="006D55F5" w:rsidRPr="00B72345">
          <w:rPr>
            <w:rStyle w:val="Hyperlink"/>
            <w:rFonts w:ascii="Calibri" w:eastAsia="Calibri" w:hAnsi="Calibri" w:cs="Calibri"/>
            <w:b/>
            <w:bCs/>
            <w:color w:val="00B0F0"/>
            <w:sz w:val="20"/>
            <w:szCs w:val="20"/>
          </w:rPr>
          <w:t>Learning and Improvement Framework (including Serious Case Reviews</w:t>
        </w:r>
        <w:proofErr w:type="gramStart"/>
        <w:r w:rsidR="006D55F5" w:rsidRPr="00B72345">
          <w:rPr>
            <w:rStyle w:val="Hyperlink"/>
            <w:rFonts w:ascii="Calibri" w:eastAsia="Calibri" w:hAnsi="Calibri" w:cs="Calibri"/>
            <w:b/>
            <w:bCs/>
            <w:color w:val="00B0F0"/>
            <w:sz w:val="20"/>
            <w:szCs w:val="20"/>
          </w:rPr>
          <w:t>)</w:t>
        </w:r>
        <w:proofErr w:type="gramEnd"/>
      </w:hyperlink>
      <w:r w:rsidR="006D55F5">
        <w:rPr>
          <w:rFonts w:ascii="Calibri" w:eastAsia="Calibri" w:hAnsi="Calibri" w:cs="Calibri"/>
          <w:bCs/>
          <w:sz w:val="20"/>
          <w:szCs w:val="20"/>
        </w:rPr>
        <w:t xml:space="preserve">- </w:t>
      </w:r>
      <w:r w:rsidR="006D55F5" w:rsidRPr="006D55F5">
        <w:rPr>
          <w:rFonts w:ascii="Calibri" w:eastAsia="Calibri" w:hAnsi="Calibri" w:cs="Calibri"/>
          <w:bCs/>
          <w:sz w:val="20"/>
          <w:szCs w:val="20"/>
        </w:rPr>
        <w:t>Links to the following publications have been added to this chapter:</w:t>
      </w:r>
    </w:p>
    <w:p w:rsidR="006D55F5" w:rsidRPr="006D55F5" w:rsidRDefault="006D55F5" w:rsidP="006D55F5">
      <w:pPr>
        <w:spacing w:before="6"/>
        <w:rPr>
          <w:rFonts w:ascii="Calibri" w:eastAsia="Calibri" w:hAnsi="Calibri" w:cs="Calibri"/>
          <w:bCs/>
          <w:sz w:val="20"/>
          <w:szCs w:val="20"/>
        </w:rPr>
      </w:pPr>
    </w:p>
    <w:p w:rsidR="006D55F5" w:rsidRPr="00B72345" w:rsidRDefault="006D55F5" w:rsidP="00B72345">
      <w:pPr>
        <w:pStyle w:val="ListParagraph"/>
        <w:numPr>
          <w:ilvl w:val="0"/>
          <w:numId w:val="5"/>
        </w:numPr>
        <w:spacing w:before="6"/>
        <w:rPr>
          <w:rFonts w:ascii="Calibri" w:eastAsia="Calibri" w:hAnsi="Calibri" w:cs="Calibri"/>
          <w:bCs/>
          <w:sz w:val="20"/>
          <w:szCs w:val="20"/>
        </w:rPr>
      </w:pPr>
      <w:r w:rsidRPr="00B72345">
        <w:rPr>
          <w:rFonts w:ascii="Calibri" w:eastAsia="Calibri" w:hAnsi="Calibri" w:cs="Calibri"/>
          <w:bCs/>
          <w:sz w:val="20"/>
          <w:szCs w:val="20"/>
        </w:rPr>
        <w:t>Pathway to Harm, Pathways to Protection: A Triennial Analysis of Serious Case Reviews 2011 to 2014</w:t>
      </w:r>
    </w:p>
    <w:p w:rsidR="006D55F5" w:rsidRPr="00B72345" w:rsidRDefault="006D55F5" w:rsidP="00B72345">
      <w:pPr>
        <w:pStyle w:val="ListParagraph"/>
        <w:spacing w:before="6"/>
        <w:ind w:left="725"/>
        <w:rPr>
          <w:rFonts w:ascii="Calibri" w:eastAsia="Calibri" w:hAnsi="Calibri" w:cs="Calibri"/>
          <w:bCs/>
          <w:sz w:val="20"/>
          <w:szCs w:val="20"/>
        </w:rPr>
      </w:pPr>
      <w:r w:rsidRPr="00B72345">
        <w:rPr>
          <w:rFonts w:ascii="Calibri" w:eastAsia="Calibri" w:hAnsi="Calibri" w:cs="Calibri"/>
          <w:bCs/>
          <w:sz w:val="20"/>
          <w:szCs w:val="20"/>
        </w:rPr>
        <w:t>Final Report- The study considers a total of 293 SCRs relating to incidents which occurred in the period 1 April 2011- 31 March 2014 and aims to provide evidence of key issues and challenges for agencies working singly and together in these cases; and</w:t>
      </w:r>
    </w:p>
    <w:p w:rsidR="006D55F5" w:rsidRPr="006D55F5" w:rsidRDefault="006D55F5" w:rsidP="006D55F5">
      <w:pPr>
        <w:spacing w:before="6"/>
        <w:rPr>
          <w:rFonts w:ascii="Calibri" w:eastAsia="Calibri" w:hAnsi="Calibri" w:cs="Calibri"/>
          <w:bCs/>
          <w:sz w:val="20"/>
          <w:szCs w:val="20"/>
        </w:rPr>
      </w:pPr>
    </w:p>
    <w:p w:rsidR="006D55F5" w:rsidRPr="00B72345" w:rsidRDefault="006D55F5" w:rsidP="00B72345">
      <w:pPr>
        <w:pStyle w:val="ListParagraph"/>
        <w:numPr>
          <w:ilvl w:val="0"/>
          <w:numId w:val="5"/>
        </w:numPr>
        <w:spacing w:before="6"/>
        <w:rPr>
          <w:rFonts w:ascii="Calibri" w:eastAsia="Calibri" w:hAnsi="Calibri" w:cs="Calibri"/>
          <w:bCs/>
          <w:sz w:val="20"/>
          <w:szCs w:val="20"/>
        </w:rPr>
      </w:pPr>
      <w:r w:rsidRPr="00B72345">
        <w:rPr>
          <w:rFonts w:ascii="Calibri" w:eastAsia="Calibri" w:hAnsi="Calibri" w:cs="Calibri"/>
          <w:bCs/>
          <w:sz w:val="20"/>
          <w:szCs w:val="20"/>
        </w:rPr>
        <w:t>Serious Case Review Quality Markers – The Quality Markers have been developed to help support commissioners and reviewers to commission and conduct high quality reviews. They provide a consistent and robust approach to SCRs by covering the whole process from setting up to running the review, to looking at outputs and outcomes from the review</w:t>
      </w:r>
    </w:p>
    <w:p w:rsidR="006D55F5" w:rsidRPr="006D55F5" w:rsidRDefault="006D55F5" w:rsidP="006D55F5">
      <w:pPr>
        <w:spacing w:before="6"/>
        <w:rPr>
          <w:rFonts w:ascii="Calibri" w:eastAsia="Calibri" w:hAnsi="Calibri" w:cs="Calibri"/>
          <w:bCs/>
          <w:sz w:val="20"/>
          <w:szCs w:val="20"/>
        </w:rPr>
      </w:pPr>
    </w:p>
    <w:p w:rsidR="006D55F5" w:rsidRDefault="006D55F5" w:rsidP="006D55F5">
      <w:pPr>
        <w:spacing w:before="6"/>
        <w:rPr>
          <w:rFonts w:ascii="Calibri" w:eastAsia="Calibri" w:hAnsi="Calibri" w:cs="Calibri"/>
          <w:bCs/>
          <w:sz w:val="20"/>
          <w:szCs w:val="20"/>
        </w:rPr>
      </w:pPr>
    </w:p>
    <w:p w:rsidR="006D55F5" w:rsidRDefault="00454A7E" w:rsidP="006D55F5">
      <w:pPr>
        <w:spacing w:before="6"/>
        <w:rPr>
          <w:rFonts w:ascii="Calibri" w:eastAsia="Calibri" w:hAnsi="Calibri" w:cs="Calibri"/>
          <w:bCs/>
          <w:sz w:val="20"/>
          <w:szCs w:val="20"/>
        </w:rPr>
      </w:pPr>
      <w:hyperlink r:id="rId21" w:history="1">
        <w:r w:rsidR="006D55F5" w:rsidRPr="00B72345">
          <w:rPr>
            <w:rStyle w:val="Hyperlink"/>
            <w:rFonts w:ascii="Calibri" w:eastAsia="Calibri" w:hAnsi="Calibri" w:cs="Calibri"/>
            <w:b/>
            <w:bCs/>
            <w:color w:val="00B0F0"/>
            <w:sz w:val="20"/>
            <w:szCs w:val="20"/>
          </w:rPr>
          <w:t>Resolving Professional Difference Protocol</w:t>
        </w:r>
      </w:hyperlink>
      <w:r w:rsidR="006D55F5">
        <w:rPr>
          <w:rFonts w:ascii="Calibri" w:eastAsia="Calibri" w:hAnsi="Calibri" w:cs="Calibri"/>
          <w:bCs/>
          <w:sz w:val="20"/>
          <w:szCs w:val="20"/>
        </w:rPr>
        <w:t xml:space="preserve"> - </w:t>
      </w:r>
      <w:r w:rsidR="006D55F5" w:rsidRPr="006D55F5">
        <w:rPr>
          <w:rFonts w:ascii="Calibri" w:eastAsia="Calibri" w:hAnsi="Calibri" w:cs="Calibri"/>
          <w:bCs/>
          <w:sz w:val="20"/>
          <w:szCs w:val="20"/>
        </w:rPr>
        <w:t>This protocol has been updated to remind practitioners that, if a concern or disagreement is escalated to Stage 3 (Escalate to Senior Manager), then a copy of Appendix 2 - Form for submitting cases for escalation and resolution should be forwarded securely to the DSCB Admin Team. This will help Doncaster Safeguarding Children Board to monitor</w:t>
      </w:r>
      <w:r w:rsidR="006D55F5" w:rsidRPr="006D55F5">
        <w:t xml:space="preserve"> </w:t>
      </w:r>
      <w:r w:rsidR="006D55F5" w:rsidRPr="006D55F5">
        <w:rPr>
          <w:rFonts w:ascii="Calibri" w:eastAsia="Calibri" w:hAnsi="Calibri" w:cs="Calibri"/>
          <w:bCs/>
          <w:sz w:val="20"/>
          <w:szCs w:val="20"/>
        </w:rPr>
        <w:t>professional disagreements and the use of this protocol</w:t>
      </w:r>
      <w:r w:rsidR="006D55F5">
        <w:rPr>
          <w:rFonts w:ascii="Calibri" w:eastAsia="Calibri" w:hAnsi="Calibri" w:cs="Calibri"/>
          <w:bCs/>
          <w:sz w:val="20"/>
          <w:szCs w:val="20"/>
        </w:rPr>
        <w:t>.</w:t>
      </w:r>
    </w:p>
    <w:p w:rsidR="006D55F5" w:rsidRDefault="006D55F5" w:rsidP="006D55F5">
      <w:pPr>
        <w:spacing w:before="6"/>
        <w:rPr>
          <w:rFonts w:ascii="Calibri" w:eastAsia="Calibri" w:hAnsi="Calibri" w:cs="Calibri"/>
          <w:bCs/>
          <w:sz w:val="20"/>
          <w:szCs w:val="20"/>
        </w:rPr>
      </w:pPr>
    </w:p>
    <w:p w:rsidR="00A94CF5" w:rsidRDefault="00A94CF5">
      <w:pPr>
        <w:spacing w:before="11"/>
        <w:rPr>
          <w:rFonts w:ascii="Arial" w:eastAsia="Arial" w:hAnsi="Arial" w:cs="Arial"/>
          <w:sz w:val="23"/>
          <w:szCs w:val="23"/>
        </w:rPr>
      </w:pPr>
    </w:p>
    <w:p w:rsidR="00A94CF5" w:rsidRPr="00370A73" w:rsidRDefault="003E3C88" w:rsidP="00370A73">
      <w:pPr>
        <w:pStyle w:val="Heading1"/>
        <w:ind w:left="0"/>
        <w:rPr>
          <w:b w:val="0"/>
          <w:bCs w:val="0"/>
          <w:color w:val="00B0F0"/>
        </w:rPr>
      </w:pPr>
      <w:r w:rsidRPr="00370A73">
        <w:rPr>
          <w:color w:val="00B0F0"/>
          <w:spacing w:val="-1"/>
        </w:rPr>
        <w:t>Actions</w:t>
      </w:r>
    </w:p>
    <w:p w:rsidR="00370A73" w:rsidRPr="00B72345" w:rsidRDefault="003E3C88" w:rsidP="00370A73">
      <w:pPr>
        <w:pStyle w:val="BodyText"/>
        <w:numPr>
          <w:ilvl w:val="2"/>
          <w:numId w:val="1"/>
        </w:numPr>
        <w:tabs>
          <w:tab w:val="left" w:pos="821"/>
        </w:tabs>
        <w:spacing w:before="182" w:line="277" w:lineRule="auto"/>
        <w:ind w:right="412"/>
        <w:rPr>
          <w:sz w:val="20"/>
          <w:szCs w:val="20"/>
          <w:u w:val="none"/>
        </w:rPr>
      </w:pPr>
      <w:r w:rsidRPr="00B72345">
        <w:rPr>
          <w:sz w:val="20"/>
          <w:szCs w:val="20"/>
          <w:u w:val="none"/>
        </w:rPr>
        <w:t>Please</w:t>
      </w:r>
      <w:r w:rsidRPr="00B72345">
        <w:rPr>
          <w:spacing w:val="-2"/>
          <w:sz w:val="20"/>
          <w:szCs w:val="20"/>
          <w:u w:val="none"/>
        </w:rPr>
        <w:t xml:space="preserve"> </w:t>
      </w:r>
      <w:r w:rsidRPr="00B72345">
        <w:rPr>
          <w:spacing w:val="-1"/>
          <w:sz w:val="20"/>
          <w:szCs w:val="20"/>
          <w:u w:val="none"/>
        </w:rPr>
        <w:t>ensure</w:t>
      </w:r>
      <w:r w:rsidRPr="00B72345">
        <w:rPr>
          <w:spacing w:val="-2"/>
          <w:sz w:val="20"/>
          <w:szCs w:val="20"/>
          <w:u w:val="none"/>
        </w:rPr>
        <w:t xml:space="preserve"> </w:t>
      </w:r>
      <w:r w:rsidRPr="00B72345">
        <w:rPr>
          <w:spacing w:val="-1"/>
          <w:sz w:val="20"/>
          <w:szCs w:val="20"/>
          <w:u w:val="none"/>
        </w:rPr>
        <w:t>your</w:t>
      </w:r>
      <w:r w:rsidRPr="00B72345">
        <w:rPr>
          <w:spacing w:val="-2"/>
          <w:sz w:val="20"/>
          <w:szCs w:val="20"/>
          <w:u w:val="none"/>
        </w:rPr>
        <w:t xml:space="preserve"> </w:t>
      </w:r>
      <w:r w:rsidRPr="00B72345">
        <w:rPr>
          <w:spacing w:val="-1"/>
          <w:sz w:val="20"/>
          <w:szCs w:val="20"/>
          <w:u w:val="none"/>
        </w:rPr>
        <w:t>Designated</w:t>
      </w:r>
      <w:r w:rsidRPr="00B72345">
        <w:rPr>
          <w:spacing w:val="-3"/>
          <w:sz w:val="20"/>
          <w:szCs w:val="20"/>
          <w:u w:val="none"/>
        </w:rPr>
        <w:t xml:space="preserve"> </w:t>
      </w:r>
      <w:r w:rsidRPr="00B72345">
        <w:rPr>
          <w:spacing w:val="-1"/>
          <w:sz w:val="20"/>
          <w:szCs w:val="20"/>
          <w:u w:val="none"/>
        </w:rPr>
        <w:t xml:space="preserve">Safeguarding Leads/Officers </w:t>
      </w:r>
      <w:r w:rsidRPr="00B72345">
        <w:rPr>
          <w:sz w:val="20"/>
          <w:szCs w:val="20"/>
          <w:u w:val="none"/>
        </w:rPr>
        <w:t>are</w:t>
      </w:r>
      <w:r w:rsidRPr="00B72345">
        <w:rPr>
          <w:spacing w:val="-2"/>
          <w:sz w:val="20"/>
          <w:szCs w:val="20"/>
          <w:u w:val="none"/>
        </w:rPr>
        <w:t xml:space="preserve"> </w:t>
      </w:r>
      <w:r w:rsidRPr="00B72345">
        <w:rPr>
          <w:sz w:val="20"/>
          <w:szCs w:val="20"/>
          <w:u w:val="none"/>
        </w:rPr>
        <w:t>aware</w:t>
      </w:r>
      <w:r w:rsidRPr="00B72345">
        <w:rPr>
          <w:spacing w:val="-2"/>
          <w:sz w:val="20"/>
          <w:szCs w:val="20"/>
          <w:u w:val="none"/>
        </w:rPr>
        <w:t xml:space="preserve"> </w:t>
      </w:r>
      <w:r w:rsidRPr="00B72345">
        <w:rPr>
          <w:spacing w:val="-1"/>
          <w:sz w:val="20"/>
          <w:szCs w:val="20"/>
          <w:u w:val="none"/>
        </w:rPr>
        <w:t>of</w:t>
      </w:r>
      <w:r w:rsidRPr="00B72345">
        <w:rPr>
          <w:spacing w:val="-2"/>
          <w:sz w:val="20"/>
          <w:szCs w:val="20"/>
          <w:u w:val="none"/>
        </w:rPr>
        <w:t xml:space="preserve"> </w:t>
      </w:r>
      <w:r w:rsidRPr="00B72345">
        <w:rPr>
          <w:spacing w:val="-1"/>
          <w:sz w:val="20"/>
          <w:szCs w:val="20"/>
          <w:u w:val="none"/>
        </w:rPr>
        <w:t>this</w:t>
      </w:r>
      <w:r w:rsidRPr="00B72345">
        <w:rPr>
          <w:spacing w:val="-2"/>
          <w:sz w:val="20"/>
          <w:szCs w:val="20"/>
          <w:u w:val="none"/>
        </w:rPr>
        <w:t xml:space="preserve"> </w:t>
      </w:r>
      <w:r w:rsidRPr="00B72345">
        <w:rPr>
          <w:sz w:val="20"/>
          <w:szCs w:val="20"/>
          <w:u w:val="none"/>
        </w:rPr>
        <w:t>briefing</w:t>
      </w:r>
      <w:r w:rsidRPr="00B72345">
        <w:rPr>
          <w:spacing w:val="-1"/>
          <w:sz w:val="20"/>
          <w:szCs w:val="20"/>
          <w:u w:val="none"/>
        </w:rPr>
        <w:t xml:space="preserve"> and</w:t>
      </w:r>
      <w:r w:rsidRPr="00B72345">
        <w:rPr>
          <w:spacing w:val="41"/>
          <w:sz w:val="20"/>
          <w:szCs w:val="20"/>
          <w:u w:val="none"/>
        </w:rPr>
        <w:t xml:space="preserve"> </w:t>
      </w:r>
      <w:r w:rsidR="00370A73" w:rsidRPr="00B72345">
        <w:rPr>
          <w:spacing w:val="-1"/>
          <w:sz w:val="20"/>
          <w:szCs w:val="20"/>
          <w:u w:val="none"/>
        </w:rPr>
        <w:t>the new and updated procedures</w:t>
      </w:r>
      <w:r w:rsidRPr="00B72345">
        <w:rPr>
          <w:spacing w:val="-1"/>
          <w:sz w:val="20"/>
          <w:szCs w:val="20"/>
          <w:u w:val="none"/>
        </w:rPr>
        <w:t>.</w:t>
      </w:r>
    </w:p>
    <w:p w:rsidR="00A94CF5" w:rsidRPr="003E3C88" w:rsidRDefault="003E3C88" w:rsidP="00370A73">
      <w:pPr>
        <w:pStyle w:val="BodyText"/>
        <w:numPr>
          <w:ilvl w:val="2"/>
          <w:numId w:val="1"/>
        </w:numPr>
        <w:tabs>
          <w:tab w:val="left" w:pos="821"/>
        </w:tabs>
        <w:spacing w:before="182" w:line="277" w:lineRule="auto"/>
        <w:ind w:right="412"/>
        <w:rPr>
          <w:rFonts w:cs="Calibri"/>
          <w:b/>
          <w:sz w:val="20"/>
          <w:szCs w:val="20"/>
        </w:rPr>
      </w:pPr>
      <w:r w:rsidRPr="00B72345">
        <w:rPr>
          <w:sz w:val="20"/>
          <w:szCs w:val="20"/>
          <w:u w:val="none"/>
        </w:rPr>
        <w:t>Register</w:t>
      </w:r>
      <w:r w:rsidRPr="00B72345">
        <w:rPr>
          <w:spacing w:val="-2"/>
          <w:sz w:val="20"/>
          <w:szCs w:val="20"/>
          <w:u w:val="none"/>
        </w:rPr>
        <w:t xml:space="preserve"> </w:t>
      </w:r>
      <w:r w:rsidRPr="00B72345">
        <w:rPr>
          <w:spacing w:val="-1"/>
          <w:sz w:val="20"/>
          <w:szCs w:val="20"/>
          <w:u w:val="none"/>
        </w:rPr>
        <w:t>for</w:t>
      </w:r>
      <w:r w:rsidRPr="00B72345">
        <w:rPr>
          <w:spacing w:val="-2"/>
          <w:sz w:val="20"/>
          <w:szCs w:val="20"/>
          <w:u w:val="none"/>
        </w:rPr>
        <w:t xml:space="preserve"> </w:t>
      </w:r>
      <w:r w:rsidRPr="00B72345">
        <w:rPr>
          <w:spacing w:val="-1"/>
          <w:sz w:val="20"/>
          <w:szCs w:val="20"/>
          <w:u w:val="none"/>
        </w:rPr>
        <w:t>policy</w:t>
      </w:r>
      <w:r w:rsidRPr="00B72345">
        <w:rPr>
          <w:sz w:val="20"/>
          <w:szCs w:val="20"/>
          <w:u w:val="none"/>
        </w:rPr>
        <w:t xml:space="preserve"> </w:t>
      </w:r>
      <w:r w:rsidRPr="00B72345">
        <w:rPr>
          <w:spacing w:val="-1"/>
          <w:sz w:val="20"/>
          <w:szCs w:val="20"/>
          <w:u w:val="none"/>
        </w:rPr>
        <w:t>and</w:t>
      </w:r>
      <w:r w:rsidRPr="00B72345">
        <w:rPr>
          <w:spacing w:val="-3"/>
          <w:sz w:val="20"/>
          <w:szCs w:val="20"/>
          <w:u w:val="none"/>
        </w:rPr>
        <w:t xml:space="preserve"> </w:t>
      </w:r>
      <w:r w:rsidRPr="00B72345">
        <w:rPr>
          <w:spacing w:val="-1"/>
          <w:sz w:val="20"/>
          <w:szCs w:val="20"/>
          <w:u w:val="none"/>
        </w:rPr>
        <w:t>procedure</w:t>
      </w:r>
      <w:r w:rsidRPr="00B72345">
        <w:rPr>
          <w:spacing w:val="-2"/>
          <w:sz w:val="20"/>
          <w:szCs w:val="20"/>
          <w:u w:val="none"/>
        </w:rPr>
        <w:t xml:space="preserve"> </w:t>
      </w:r>
      <w:r w:rsidRPr="00B72345">
        <w:rPr>
          <w:spacing w:val="-1"/>
          <w:sz w:val="20"/>
          <w:szCs w:val="20"/>
          <w:u w:val="none"/>
        </w:rPr>
        <w:t xml:space="preserve">alerts </w:t>
      </w:r>
      <w:r w:rsidRPr="00B72345">
        <w:rPr>
          <w:sz w:val="20"/>
          <w:szCs w:val="20"/>
          <w:u w:val="none"/>
        </w:rPr>
        <w:t>-</w:t>
      </w:r>
      <w:r w:rsidRPr="00B72345">
        <w:rPr>
          <w:spacing w:val="-3"/>
          <w:sz w:val="20"/>
          <w:szCs w:val="20"/>
          <w:u w:val="none"/>
        </w:rPr>
        <w:t xml:space="preserve"> </w:t>
      </w:r>
      <w:r w:rsidRPr="00B72345">
        <w:rPr>
          <w:sz w:val="20"/>
          <w:szCs w:val="20"/>
          <w:u w:val="none"/>
        </w:rPr>
        <w:t>we</w:t>
      </w:r>
      <w:r w:rsidRPr="00B72345">
        <w:rPr>
          <w:spacing w:val="-2"/>
          <w:sz w:val="20"/>
          <w:szCs w:val="20"/>
          <w:u w:val="none"/>
        </w:rPr>
        <w:t xml:space="preserve"> </w:t>
      </w:r>
      <w:r w:rsidRPr="00B72345">
        <w:rPr>
          <w:spacing w:val="-1"/>
          <w:sz w:val="20"/>
          <w:szCs w:val="20"/>
          <w:u w:val="none"/>
        </w:rPr>
        <w:t>can</w:t>
      </w:r>
      <w:r w:rsidRPr="00B72345">
        <w:rPr>
          <w:spacing w:val="1"/>
          <w:sz w:val="20"/>
          <w:szCs w:val="20"/>
          <w:u w:val="none"/>
        </w:rPr>
        <w:t xml:space="preserve"> </w:t>
      </w:r>
      <w:r w:rsidRPr="00B72345">
        <w:rPr>
          <w:sz w:val="20"/>
          <w:szCs w:val="20"/>
          <w:u w:val="none"/>
        </w:rPr>
        <w:t>alert</w:t>
      </w:r>
      <w:r w:rsidRPr="00B72345">
        <w:rPr>
          <w:spacing w:val="-4"/>
          <w:sz w:val="20"/>
          <w:szCs w:val="20"/>
          <w:u w:val="none"/>
        </w:rPr>
        <w:t xml:space="preserve"> </w:t>
      </w:r>
      <w:r w:rsidRPr="00B72345">
        <w:rPr>
          <w:spacing w:val="-1"/>
          <w:sz w:val="20"/>
          <w:szCs w:val="20"/>
          <w:u w:val="none"/>
        </w:rPr>
        <w:t>you</w:t>
      </w:r>
      <w:r w:rsidRPr="00B72345">
        <w:rPr>
          <w:spacing w:val="-3"/>
          <w:sz w:val="20"/>
          <w:szCs w:val="20"/>
          <w:u w:val="none"/>
        </w:rPr>
        <w:t xml:space="preserve"> </w:t>
      </w:r>
      <w:r w:rsidRPr="00B72345">
        <w:rPr>
          <w:sz w:val="20"/>
          <w:szCs w:val="20"/>
          <w:u w:val="none"/>
        </w:rPr>
        <w:t>whenever</w:t>
      </w:r>
      <w:r w:rsidRPr="00B72345">
        <w:rPr>
          <w:spacing w:val="-2"/>
          <w:sz w:val="20"/>
          <w:szCs w:val="20"/>
          <w:u w:val="none"/>
        </w:rPr>
        <w:t xml:space="preserve"> </w:t>
      </w:r>
      <w:r w:rsidRPr="00B72345">
        <w:rPr>
          <w:spacing w:val="-1"/>
          <w:sz w:val="20"/>
          <w:szCs w:val="20"/>
          <w:u w:val="none"/>
        </w:rPr>
        <w:t>the</w:t>
      </w:r>
      <w:r w:rsidRPr="00B72345">
        <w:rPr>
          <w:spacing w:val="-2"/>
          <w:sz w:val="20"/>
          <w:szCs w:val="20"/>
          <w:u w:val="none"/>
        </w:rPr>
        <w:t xml:space="preserve"> </w:t>
      </w:r>
      <w:r w:rsidRPr="00B72345">
        <w:rPr>
          <w:spacing w:val="-1"/>
          <w:sz w:val="20"/>
          <w:szCs w:val="20"/>
          <w:u w:val="none"/>
        </w:rPr>
        <w:t>procedures</w:t>
      </w:r>
      <w:r w:rsidRPr="00B72345">
        <w:rPr>
          <w:spacing w:val="-2"/>
          <w:sz w:val="20"/>
          <w:szCs w:val="20"/>
          <w:u w:val="none"/>
        </w:rPr>
        <w:t xml:space="preserve"> </w:t>
      </w:r>
      <w:r w:rsidRPr="00B72345">
        <w:rPr>
          <w:spacing w:val="-1"/>
          <w:sz w:val="20"/>
          <w:szCs w:val="20"/>
          <w:u w:val="none"/>
        </w:rPr>
        <w:t>manual</w:t>
      </w:r>
      <w:r w:rsidRPr="00B72345">
        <w:rPr>
          <w:spacing w:val="37"/>
          <w:sz w:val="20"/>
          <w:szCs w:val="20"/>
          <w:u w:val="none"/>
        </w:rPr>
        <w:t xml:space="preserve"> </w:t>
      </w:r>
      <w:r w:rsidRPr="00B72345">
        <w:rPr>
          <w:sz w:val="20"/>
          <w:szCs w:val="20"/>
          <w:u w:val="none"/>
        </w:rPr>
        <w:t>is</w:t>
      </w:r>
      <w:r w:rsidRPr="00B72345">
        <w:rPr>
          <w:spacing w:val="-2"/>
          <w:sz w:val="20"/>
          <w:szCs w:val="20"/>
          <w:u w:val="none"/>
        </w:rPr>
        <w:t xml:space="preserve"> </w:t>
      </w:r>
      <w:r w:rsidRPr="00B72345">
        <w:rPr>
          <w:spacing w:val="-1"/>
          <w:sz w:val="20"/>
          <w:szCs w:val="20"/>
          <w:u w:val="none"/>
        </w:rPr>
        <w:t>updated,</w:t>
      </w:r>
      <w:r w:rsidRPr="00B72345">
        <w:rPr>
          <w:spacing w:val="-5"/>
          <w:sz w:val="20"/>
          <w:szCs w:val="20"/>
          <w:u w:val="none"/>
        </w:rPr>
        <w:t xml:space="preserve"> </w:t>
      </w:r>
      <w:r w:rsidRPr="00B72345">
        <w:rPr>
          <w:spacing w:val="1"/>
          <w:sz w:val="20"/>
          <w:szCs w:val="20"/>
          <w:u w:val="none"/>
        </w:rPr>
        <w:t>to</w:t>
      </w:r>
      <w:r w:rsidRPr="00B72345">
        <w:rPr>
          <w:spacing w:val="-3"/>
          <w:sz w:val="20"/>
          <w:szCs w:val="20"/>
          <w:u w:val="none"/>
        </w:rPr>
        <w:t xml:space="preserve"> </w:t>
      </w:r>
      <w:r w:rsidRPr="00B72345">
        <w:rPr>
          <w:spacing w:val="-1"/>
          <w:sz w:val="20"/>
          <w:szCs w:val="20"/>
          <w:u w:val="none"/>
        </w:rPr>
        <w:t>register</w:t>
      </w:r>
      <w:r w:rsidRPr="00B72345">
        <w:rPr>
          <w:spacing w:val="-2"/>
          <w:sz w:val="20"/>
          <w:szCs w:val="20"/>
          <w:u w:val="none"/>
        </w:rPr>
        <w:t xml:space="preserve"> </w:t>
      </w:r>
      <w:r w:rsidRPr="00B72345">
        <w:rPr>
          <w:spacing w:val="-1"/>
          <w:sz w:val="20"/>
          <w:szCs w:val="20"/>
          <w:u w:val="none"/>
        </w:rPr>
        <w:t>for</w:t>
      </w:r>
      <w:r w:rsidRPr="00B72345">
        <w:rPr>
          <w:spacing w:val="-2"/>
          <w:sz w:val="20"/>
          <w:szCs w:val="20"/>
          <w:u w:val="none"/>
        </w:rPr>
        <w:t xml:space="preserve"> </w:t>
      </w:r>
      <w:r w:rsidRPr="00B72345">
        <w:rPr>
          <w:spacing w:val="-1"/>
          <w:sz w:val="20"/>
          <w:szCs w:val="20"/>
          <w:u w:val="none"/>
        </w:rPr>
        <w:t>updates,</w:t>
      </w:r>
      <w:r w:rsidRPr="00B72345">
        <w:rPr>
          <w:sz w:val="20"/>
          <w:szCs w:val="20"/>
          <w:u w:val="none"/>
        </w:rPr>
        <w:t xml:space="preserve"> please</w:t>
      </w:r>
      <w:r w:rsidRPr="00B72345">
        <w:rPr>
          <w:spacing w:val="-2"/>
          <w:sz w:val="20"/>
          <w:szCs w:val="20"/>
          <w:u w:val="none"/>
        </w:rPr>
        <w:t xml:space="preserve"> </w:t>
      </w:r>
      <w:r w:rsidRPr="00B72345">
        <w:rPr>
          <w:spacing w:val="-1"/>
          <w:sz w:val="20"/>
          <w:szCs w:val="20"/>
          <w:u w:val="none"/>
        </w:rPr>
        <w:t>complete</w:t>
      </w:r>
      <w:r w:rsidRPr="00B72345">
        <w:rPr>
          <w:spacing w:val="-2"/>
          <w:sz w:val="20"/>
          <w:szCs w:val="20"/>
          <w:u w:val="none"/>
        </w:rPr>
        <w:t xml:space="preserve"> </w:t>
      </w:r>
      <w:r w:rsidRPr="00B72345">
        <w:rPr>
          <w:sz w:val="20"/>
          <w:szCs w:val="20"/>
          <w:u w:val="none"/>
        </w:rPr>
        <w:t>the</w:t>
      </w:r>
      <w:r w:rsidRPr="00B72345">
        <w:rPr>
          <w:spacing w:val="-2"/>
          <w:sz w:val="20"/>
          <w:szCs w:val="20"/>
          <w:u w:val="none"/>
        </w:rPr>
        <w:t xml:space="preserve"> </w:t>
      </w:r>
      <w:r w:rsidRPr="00B72345">
        <w:rPr>
          <w:spacing w:val="-1"/>
          <w:sz w:val="20"/>
          <w:szCs w:val="20"/>
          <w:u w:val="none"/>
        </w:rPr>
        <w:t>form</w:t>
      </w:r>
      <w:r w:rsidRPr="00B72345">
        <w:rPr>
          <w:spacing w:val="-2"/>
          <w:sz w:val="20"/>
          <w:szCs w:val="20"/>
          <w:u w:val="none"/>
        </w:rPr>
        <w:t xml:space="preserve"> </w:t>
      </w:r>
      <w:r w:rsidRPr="00B72345">
        <w:rPr>
          <w:spacing w:val="-1"/>
          <w:sz w:val="20"/>
          <w:szCs w:val="20"/>
          <w:u w:val="none"/>
        </w:rPr>
        <w:t>at:</w:t>
      </w:r>
      <w:r w:rsidRPr="00B72345">
        <w:rPr>
          <w:sz w:val="20"/>
          <w:szCs w:val="20"/>
          <w:u w:val="none"/>
        </w:rPr>
        <w:t xml:space="preserve"> </w:t>
      </w:r>
      <w:r w:rsidRPr="00B72345">
        <w:rPr>
          <w:color w:val="0000FF"/>
          <w:sz w:val="20"/>
          <w:szCs w:val="20"/>
          <w:u w:val="none"/>
        </w:rPr>
        <w:t xml:space="preserve"> </w:t>
      </w:r>
      <w:r w:rsidR="00370A73" w:rsidRPr="003E3C88">
        <w:rPr>
          <w:b/>
          <w:color w:val="00B0F0"/>
          <w:sz w:val="20"/>
          <w:szCs w:val="20"/>
          <w:u w:val="none"/>
        </w:rPr>
        <w:t>http://doncasterscb.proceduresonline.com/chapters/register_updates.html</w:t>
      </w:r>
    </w:p>
    <w:p w:rsidR="00A94CF5" w:rsidRPr="003E3C88" w:rsidRDefault="00A94CF5">
      <w:pPr>
        <w:spacing w:before="4"/>
        <w:rPr>
          <w:rFonts w:ascii="Calibri" w:eastAsia="Calibri" w:hAnsi="Calibri" w:cs="Calibri"/>
          <w:b/>
          <w:sz w:val="16"/>
          <w:szCs w:val="16"/>
        </w:rPr>
      </w:pPr>
    </w:p>
    <w:p w:rsidR="00A94CF5" w:rsidRDefault="00A94CF5">
      <w:pPr>
        <w:spacing w:line="454" w:lineRule="auto"/>
        <w:ind w:left="100" w:right="3446"/>
        <w:rPr>
          <w:rFonts w:ascii="Calibri" w:eastAsia="Calibri" w:hAnsi="Calibri" w:cs="Calibri"/>
        </w:rPr>
      </w:pPr>
    </w:p>
    <w:sectPr w:rsidR="00A94CF5">
      <w:footerReference w:type="default" r:id="rId22"/>
      <w:pgSz w:w="11910" w:h="16840"/>
      <w:pgMar w:top="1380" w:right="1400" w:bottom="1160" w:left="1340" w:header="0" w:footer="9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A7E" w:rsidRDefault="00454A7E">
      <w:r>
        <w:separator/>
      </w:r>
    </w:p>
  </w:endnote>
  <w:endnote w:type="continuationSeparator" w:id="0">
    <w:p w:rsidR="00454A7E" w:rsidRDefault="0045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CF5" w:rsidRDefault="00B72345">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1612265</wp:posOffset>
              </wp:positionH>
              <wp:positionV relativeFrom="page">
                <wp:posOffset>9937750</wp:posOffset>
              </wp:positionV>
              <wp:extent cx="4337050" cy="165735"/>
              <wp:effectExtent l="2540" t="3175" r="381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CF5" w:rsidRDefault="00A94CF5">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6.95pt;margin-top:782.5pt;width:341.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" filled="f" stroked="f">
              <v:textbox inset="0,0,0,0">
                <w:txbxContent>
                  <w:p w:rsidR="00A94CF5" w:rsidRDefault="00A94CF5">
                    <w:pPr>
                      <w:spacing w:line="245" w:lineRule="exact"/>
                      <w:ind w:left="20"/>
                      <w:rPr>
                        <w:rFonts w:ascii="Calibri" w:eastAsia="Calibri" w:hAnsi="Calibri" w:cs="Calibri"/>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A7E" w:rsidRDefault="00454A7E">
      <w:r>
        <w:separator/>
      </w:r>
    </w:p>
  </w:footnote>
  <w:footnote w:type="continuationSeparator" w:id="0">
    <w:p w:rsidR="00454A7E" w:rsidRDefault="00454A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B1230"/>
    <w:multiLevelType w:val="multilevel"/>
    <w:tmpl w:val="9D762E80"/>
    <w:lvl w:ilvl="0">
      <w:start w:val="5"/>
      <w:numFmt w:val="upperLetter"/>
      <w:lvlText w:val="%1"/>
      <w:lvlJc w:val="left"/>
      <w:pPr>
        <w:ind w:left="140" w:hanging="275"/>
        <w:jc w:val="left"/>
      </w:pPr>
      <w:rPr>
        <w:rFonts w:hint="default"/>
      </w:rPr>
    </w:lvl>
    <w:lvl w:ilvl="1">
      <w:start w:val="19"/>
      <w:numFmt w:val="upperLetter"/>
      <w:lvlText w:val="%1-%2"/>
      <w:lvlJc w:val="left"/>
      <w:pPr>
        <w:ind w:left="140" w:hanging="275"/>
        <w:jc w:val="left"/>
      </w:pPr>
      <w:rPr>
        <w:rFonts w:hint="default"/>
        <w:spacing w:val="-3"/>
        <w:u w:val="single" w:color="0000FF"/>
      </w:rPr>
    </w:lvl>
    <w:lvl w:ilvl="2">
      <w:start w:val="1"/>
      <w:numFmt w:val="bullet"/>
      <w:lvlText w:val=""/>
      <w:lvlJc w:val="left"/>
      <w:pPr>
        <w:ind w:left="821" w:hanging="361"/>
      </w:pPr>
      <w:rPr>
        <w:rFonts w:ascii="Symbol" w:eastAsia="Symbol" w:hAnsi="Symbol" w:hint="default"/>
        <w:sz w:val="22"/>
        <w:szCs w:val="22"/>
      </w:rPr>
    </w:lvl>
    <w:lvl w:ilvl="3">
      <w:start w:val="1"/>
      <w:numFmt w:val="bullet"/>
      <w:lvlText w:val="•"/>
      <w:lvlJc w:val="left"/>
      <w:pPr>
        <w:ind w:left="2688" w:hanging="361"/>
      </w:pPr>
      <w:rPr>
        <w:rFonts w:hint="default"/>
      </w:rPr>
    </w:lvl>
    <w:lvl w:ilvl="4">
      <w:start w:val="1"/>
      <w:numFmt w:val="bullet"/>
      <w:lvlText w:val="•"/>
      <w:lvlJc w:val="left"/>
      <w:pPr>
        <w:ind w:left="3622" w:hanging="361"/>
      </w:pPr>
      <w:rPr>
        <w:rFonts w:hint="default"/>
      </w:rPr>
    </w:lvl>
    <w:lvl w:ilvl="5">
      <w:start w:val="1"/>
      <w:numFmt w:val="bullet"/>
      <w:lvlText w:val="•"/>
      <w:lvlJc w:val="left"/>
      <w:pPr>
        <w:ind w:left="4555" w:hanging="361"/>
      </w:pPr>
      <w:rPr>
        <w:rFonts w:hint="default"/>
      </w:rPr>
    </w:lvl>
    <w:lvl w:ilvl="6">
      <w:start w:val="1"/>
      <w:numFmt w:val="bullet"/>
      <w:lvlText w:val="•"/>
      <w:lvlJc w:val="left"/>
      <w:pPr>
        <w:ind w:left="5489" w:hanging="361"/>
      </w:pPr>
      <w:rPr>
        <w:rFonts w:hint="default"/>
      </w:rPr>
    </w:lvl>
    <w:lvl w:ilvl="7">
      <w:start w:val="1"/>
      <w:numFmt w:val="bullet"/>
      <w:lvlText w:val="•"/>
      <w:lvlJc w:val="left"/>
      <w:pPr>
        <w:ind w:left="6423" w:hanging="361"/>
      </w:pPr>
      <w:rPr>
        <w:rFonts w:hint="default"/>
      </w:rPr>
    </w:lvl>
    <w:lvl w:ilvl="8">
      <w:start w:val="1"/>
      <w:numFmt w:val="bullet"/>
      <w:lvlText w:val="•"/>
      <w:lvlJc w:val="left"/>
      <w:pPr>
        <w:ind w:left="7356" w:hanging="361"/>
      </w:pPr>
      <w:rPr>
        <w:rFonts w:hint="default"/>
      </w:rPr>
    </w:lvl>
  </w:abstractNum>
  <w:abstractNum w:abstractNumId="1">
    <w:nsid w:val="16253EBF"/>
    <w:multiLevelType w:val="hybridMultilevel"/>
    <w:tmpl w:val="A5C890B8"/>
    <w:lvl w:ilvl="0" w:tplc="E884C17E">
      <w:numFmt w:val="bullet"/>
      <w:lvlText w:val="•"/>
      <w:lvlJc w:val="left"/>
      <w:pPr>
        <w:ind w:left="725" w:hanging="585"/>
      </w:pPr>
      <w:rPr>
        <w:rFonts w:ascii="Calibri" w:eastAsia="Calibri" w:hAnsi="Calibri" w:cstheme="minorBidi" w:hint="default"/>
      </w:rPr>
    </w:lvl>
    <w:lvl w:ilvl="1" w:tplc="08090003" w:tentative="1">
      <w:start w:val="1"/>
      <w:numFmt w:val="bullet"/>
      <w:lvlText w:val="o"/>
      <w:lvlJc w:val="left"/>
      <w:pPr>
        <w:ind w:left="1220" w:hanging="360"/>
      </w:pPr>
      <w:rPr>
        <w:rFonts w:ascii="Courier New" w:hAnsi="Courier New" w:cs="Courier New" w:hint="default"/>
      </w:rPr>
    </w:lvl>
    <w:lvl w:ilvl="2" w:tplc="08090005" w:tentative="1">
      <w:start w:val="1"/>
      <w:numFmt w:val="bullet"/>
      <w:lvlText w:val=""/>
      <w:lvlJc w:val="left"/>
      <w:pPr>
        <w:ind w:left="1940" w:hanging="360"/>
      </w:pPr>
      <w:rPr>
        <w:rFonts w:ascii="Wingdings" w:hAnsi="Wingdings" w:hint="default"/>
      </w:rPr>
    </w:lvl>
    <w:lvl w:ilvl="3" w:tplc="08090001" w:tentative="1">
      <w:start w:val="1"/>
      <w:numFmt w:val="bullet"/>
      <w:lvlText w:val=""/>
      <w:lvlJc w:val="left"/>
      <w:pPr>
        <w:ind w:left="2660" w:hanging="360"/>
      </w:pPr>
      <w:rPr>
        <w:rFonts w:ascii="Symbol" w:hAnsi="Symbol" w:hint="default"/>
      </w:rPr>
    </w:lvl>
    <w:lvl w:ilvl="4" w:tplc="08090003" w:tentative="1">
      <w:start w:val="1"/>
      <w:numFmt w:val="bullet"/>
      <w:lvlText w:val="o"/>
      <w:lvlJc w:val="left"/>
      <w:pPr>
        <w:ind w:left="3380" w:hanging="360"/>
      </w:pPr>
      <w:rPr>
        <w:rFonts w:ascii="Courier New" w:hAnsi="Courier New" w:cs="Courier New" w:hint="default"/>
      </w:rPr>
    </w:lvl>
    <w:lvl w:ilvl="5" w:tplc="08090005" w:tentative="1">
      <w:start w:val="1"/>
      <w:numFmt w:val="bullet"/>
      <w:lvlText w:val=""/>
      <w:lvlJc w:val="left"/>
      <w:pPr>
        <w:ind w:left="4100" w:hanging="360"/>
      </w:pPr>
      <w:rPr>
        <w:rFonts w:ascii="Wingdings" w:hAnsi="Wingdings" w:hint="default"/>
      </w:rPr>
    </w:lvl>
    <w:lvl w:ilvl="6" w:tplc="08090001" w:tentative="1">
      <w:start w:val="1"/>
      <w:numFmt w:val="bullet"/>
      <w:lvlText w:val=""/>
      <w:lvlJc w:val="left"/>
      <w:pPr>
        <w:ind w:left="4820" w:hanging="360"/>
      </w:pPr>
      <w:rPr>
        <w:rFonts w:ascii="Symbol" w:hAnsi="Symbol" w:hint="default"/>
      </w:rPr>
    </w:lvl>
    <w:lvl w:ilvl="7" w:tplc="08090003" w:tentative="1">
      <w:start w:val="1"/>
      <w:numFmt w:val="bullet"/>
      <w:lvlText w:val="o"/>
      <w:lvlJc w:val="left"/>
      <w:pPr>
        <w:ind w:left="5540" w:hanging="360"/>
      </w:pPr>
      <w:rPr>
        <w:rFonts w:ascii="Courier New" w:hAnsi="Courier New" w:cs="Courier New" w:hint="default"/>
      </w:rPr>
    </w:lvl>
    <w:lvl w:ilvl="8" w:tplc="08090005" w:tentative="1">
      <w:start w:val="1"/>
      <w:numFmt w:val="bullet"/>
      <w:lvlText w:val=""/>
      <w:lvlJc w:val="left"/>
      <w:pPr>
        <w:ind w:left="6260" w:hanging="360"/>
      </w:pPr>
      <w:rPr>
        <w:rFonts w:ascii="Wingdings" w:hAnsi="Wingdings" w:hint="default"/>
      </w:rPr>
    </w:lvl>
  </w:abstractNum>
  <w:abstractNum w:abstractNumId="2">
    <w:nsid w:val="24131B60"/>
    <w:multiLevelType w:val="hybridMultilevel"/>
    <w:tmpl w:val="CD88745A"/>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3">
    <w:nsid w:val="2A3329E3"/>
    <w:multiLevelType w:val="hybridMultilevel"/>
    <w:tmpl w:val="2BE07C36"/>
    <w:lvl w:ilvl="0" w:tplc="E884C17E">
      <w:numFmt w:val="bullet"/>
      <w:lvlText w:val="•"/>
      <w:lvlJc w:val="left"/>
      <w:pPr>
        <w:ind w:left="725" w:hanging="585"/>
      </w:pPr>
      <w:rPr>
        <w:rFonts w:ascii="Calibri" w:eastAsia="Calibr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A15DC8"/>
    <w:multiLevelType w:val="hybridMultilevel"/>
    <w:tmpl w:val="F566F738"/>
    <w:lvl w:ilvl="0" w:tplc="E884C17E">
      <w:numFmt w:val="bullet"/>
      <w:lvlText w:val="•"/>
      <w:lvlJc w:val="left"/>
      <w:pPr>
        <w:ind w:left="725" w:hanging="585"/>
      </w:pPr>
      <w:rPr>
        <w:rFonts w:ascii="Calibri" w:eastAsia="Calibr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CF5"/>
    <w:rsid w:val="003169B7"/>
    <w:rsid w:val="00370A73"/>
    <w:rsid w:val="003E3C88"/>
    <w:rsid w:val="00454A7E"/>
    <w:rsid w:val="006049FA"/>
    <w:rsid w:val="006D55F5"/>
    <w:rsid w:val="00784BAF"/>
    <w:rsid w:val="008D21C0"/>
    <w:rsid w:val="009909A0"/>
    <w:rsid w:val="00A94CF5"/>
    <w:rsid w:val="00AF3B1B"/>
    <w:rsid w:val="00B72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2"/>
      <w:ind w:left="100"/>
      <w:outlineLvl w:val="0"/>
    </w:pPr>
    <w:rPr>
      <w:rFonts w:ascii="Calibri" w:eastAsia="Calibri" w:hAnsi="Calibri"/>
      <w:b/>
      <w:bCs/>
      <w:sz w:val="28"/>
      <w:szCs w:val="28"/>
    </w:rPr>
  </w:style>
  <w:style w:type="paragraph" w:styleId="Heading2">
    <w:name w:val="heading 2"/>
    <w:basedOn w:val="Normal"/>
    <w:uiPriority w:val="1"/>
    <w:qFormat/>
    <w:pPr>
      <w:ind w:left="100"/>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Calibri" w:eastAsia="Calibri" w:hAnsi="Calibri"/>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F3B1B"/>
    <w:rPr>
      <w:rFonts w:ascii="Tahoma" w:hAnsi="Tahoma" w:cs="Tahoma"/>
      <w:sz w:val="16"/>
      <w:szCs w:val="16"/>
    </w:rPr>
  </w:style>
  <w:style w:type="character" w:customStyle="1" w:styleId="BalloonTextChar">
    <w:name w:val="Balloon Text Char"/>
    <w:basedOn w:val="DefaultParagraphFont"/>
    <w:link w:val="BalloonText"/>
    <w:uiPriority w:val="99"/>
    <w:semiHidden/>
    <w:rsid w:val="00AF3B1B"/>
    <w:rPr>
      <w:rFonts w:ascii="Tahoma" w:hAnsi="Tahoma" w:cs="Tahoma"/>
      <w:sz w:val="16"/>
      <w:szCs w:val="16"/>
    </w:rPr>
  </w:style>
  <w:style w:type="character" w:styleId="Hyperlink">
    <w:name w:val="Hyperlink"/>
    <w:basedOn w:val="DefaultParagraphFont"/>
    <w:uiPriority w:val="99"/>
    <w:unhideWhenUsed/>
    <w:rsid w:val="00AF3B1B"/>
    <w:rPr>
      <w:color w:val="0000FF" w:themeColor="hyperlink"/>
      <w:u w:val="single"/>
    </w:rPr>
  </w:style>
  <w:style w:type="paragraph" w:styleId="Header">
    <w:name w:val="header"/>
    <w:basedOn w:val="Normal"/>
    <w:link w:val="HeaderChar"/>
    <w:uiPriority w:val="99"/>
    <w:unhideWhenUsed/>
    <w:rsid w:val="00AF3B1B"/>
    <w:pPr>
      <w:tabs>
        <w:tab w:val="center" w:pos="4513"/>
        <w:tab w:val="right" w:pos="9026"/>
      </w:tabs>
    </w:pPr>
  </w:style>
  <w:style w:type="character" w:customStyle="1" w:styleId="HeaderChar">
    <w:name w:val="Header Char"/>
    <w:basedOn w:val="DefaultParagraphFont"/>
    <w:link w:val="Header"/>
    <w:uiPriority w:val="99"/>
    <w:rsid w:val="00AF3B1B"/>
  </w:style>
  <w:style w:type="paragraph" w:styleId="Footer">
    <w:name w:val="footer"/>
    <w:basedOn w:val="Normal"/>
    <w:link w:val="FooterChar"/>
    <w:uiPriority w:val="99"/>
    <w:unhideWhenUsed/>
    <w:rsid w:val="00AF3B1B"/>
    <w:pPr>
      <w:tabs>
        <w:tab w:val="center" w:pos="4513"/>
        <w:tab w:val="right" w:pos="9026"/>
      </w:tabs>
    </w:pPr>
  </w:style>
  <w:style w:type="character" w:customStyle="1" w:styleId="FooterChar">
    <w:name w:val="Footer Char"/>
    <w:basedOn w:val="DefaultParagraphFont"/>
    <w:link w:val="Footer"/>
    <w:uiPriority w:val="99"/>
    <w:rsid w:val="00AF3B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2"/>
      <w:ind w:left="100"/>
      <w:outlineLvl w:val="0"/>
    </w:pPr>
    <w:rPr>
      <w:rFonts w:ascii="Calibri" w:eastAsia="Calibri" w:hAnsi="Calibri"/>
      <w:b/>
      <w:bCs/>
      <w:sz w:val="28"/>
      <w:szCs w:val="28"/>
    </w:rPr>
  </w:style>
  <w:style w:type="paragraph" w:styleId="Heading2">
    <w:name w:val="heading 2"/>
    <w:basedOn w:val="Normal"/>
    <w:uiPriority w:val="1"/>
    <w:qFormat/>
    <w:pPr>
      <w:ind w:left="100"/>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Calibri" w:eastAsia="Calibri" w:hAnsi="Calibri"/>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F3B1B"/>
    <w:rPr>
      <w:rFonts w:ascii="Tahoma" w:hAnsi="Tahoma" w:cs="Tahoma"/>
      <w:sz w:val="16"/>
      <w:szCs w:val="16"/>
    </w:rPr>
  </w:style>
  <w:style w:type="character" w:customStyle="1" w:styleId="BalloonTextChar">
    <w:name w:val="Balloon Text Char"/>
    <w:basedOn w:val="DefaultParagraphFont"/>
    <w:link w:val="BalloonText"/>
    <w:uiPriority w:val="99"/>
    <w:semiHidden/>
    <w:rsid w:val="00AF3B1B"/>
    <w:rPr>
      <w:rFonts w:ascii="Tahoma" w:hAnsi="Tahoma" w:cs="Tahoma"/>
      <w:sz w:val="16"/>
      <w:szCs w:val="16"/>
    </w:rPr>
  </w:style>
  <w:style w:type="character" w:styleId="Hyperlink">
    <w:name w:val="Hyperlink"/>
    <w:basedOn w:val="DefaultParagraphFont"/>
    <w:uiPriority w:val="99"/>
    <w:unhideWhenUsed/>
    <w:rsid w:val="00AF3B1B"/>
    <w:rPr>
      <w:color w:val="0000FF" w:themeColor="hyperlink"/>
      <w:u w:val="single"/>
    </w:rPr>
  </w:style>
  <w:style w:type="paragraph" w:styleId="Header">
    <w:name w:val="header"/>
    <w:basedOn w:val="Normal"/>
    <w:link w:val="HeaderChar"/>
    <w:uiPriority w:val="99"/>
    <w:unhideWhenUsed/>
    <w:rsid w:val="00AF3B1B"/>
    <w:pPr>
      <w:tabs>
        <w:tab w:val="center" w:pos="4513"/>
        <w:tab w:val="right" w:pos="9026"/>
      </w:tabs>
    </w:pPr>
  </w:style>
  <w:style w:type="character" w:customStyle="1" w:styleId="HeaderChar">
    <w:name w:val="Header Char"/>
    <w:basedOn w:val="DefaultParagraphFont"/>
    <w:link w:val="Header"/>
    <w:uiPriority w:val="99"/>
    <w:rsid w:val="00AF3B1B"/>
  </w:style>
  <w:style w:type="paragraph" w:styleId="Footer">
    <w:name w:val="footer"/>
    <w:basedOn w:val="Normal"/>
    <w:link w:val="FooterChar"/>
    <w:uiPriority w:val="99"/>
    <w:unhideWhenUsed/>
    <w:rsid w:val="00AF3B1B"/>
    <w:pPr>
      <w:tabs>
        <w:tab w:val="center" w:pos="4513"/>
        <w:tab w:val="right" w:pos="9026"/>
      </w:tabs>
    </w:pPr>
  </w:style>
  <w:style w:type="character" w:customStyle="1" w:styleId="FooterChar">
    <w:name w:val="Footer Char"/>
    <w:basedOn w:val="DefaultParagraphFont"/>
    <w:link w:val="Footer"/>
    <w:uiPriority w:val="99"/>
    <w:rsid w:val="00AF3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ncasterscb.proceduresonline.com/chapters/p_whistleblowing.html" TargetMode="External"/><Relationship Id="rId18" Type="http://schemas.openxmlformats.org/officeDocument/2006/relationships/hyperlink" Target="http://doncasterscb.proceduresonline.com/chapters/p_protect_child_vulner_violent_ext.html" TargetMode="External"/><Relationship Id="rId3" Type="http://schemas.microsoft.com/office/2007/relationships/stylesWithEffects" Target="stylesWithEffects.xml"/><Relationship Id="rId21" Type="http://schemas.openxmlformats.org/officeDocument/2006/relationships/hyperlink" Target="http://doncasterscb.proceduresonline.com/chapters/p_resolving_prof_diff.html" TargetMode="External"/><Relationship Id="rId7" Type="http://schemas.openxmlformats.org/officeDocument/2006/relationships/endnotes" Target="endnotes.xml"/><Relationship Id="rId12" Type="http://schemas.openxmlformats.org/officeDocument/2006/relationships/hyperlink" Target="http://doncasterscb.proceduresonline.com/chapters/p_multi_age_prev_self_harm.html" TargetMode="External"/><Relationship Id="rId17" Type="http://schemas.openxmlformats.org/officeDocument/2006/relationships/hyperlink" Target="http://doncasterscb.proceduresonline.com/chapters/p_sg_unborn_babies.html" TargetMode="External"/><Relationship Id="rId2" Type="http://schemas.openxmlformats.org/officeDocument/2006/relationships/styles" Target="styles.xml"/><Relationship Id="rId16" Type="http://schemas.openxmlformats.org/officeDocument/2006/relationships/hyperlink" Target="http://doncasterscb.proceduresonline.com/chapters/p_dom_viol_abuse.html" TargetMode="External"/><Relationship Id="rId20" Type="http://schemas.openxmlformats.org/officeDocument/2006/relationships/hyperlink" Target="http://doncasterscb.proceduresonline.com/chapters/p_learn_improve.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ncasterscb.proceduresonline.com/chapters/p_dangerous_dog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ncasterscb.proceduresonline.com/chapters/p_bullying.html" TargetMode="External"/><Relationship Id="rId23" Type="http://schemas.openxmlformats.org/officeDocument/2006/relationships/fontTable" Target="fontTable.xml"/><Relationship Id="rId10" Type="http://schemas.openxmlformats.org/officeDocument/2006/relationships/hyperlink" Target="http://doncasterscb.proceduresonline.com/chapters/p_honor_based_viol.html" TargetMode="External"/><Relationship Id="rId19" Type="http://schemas.openxmlformats.org/officeDocument/2006/relationships/hyperlink" Target="http://doncasterscb.proceduresonline.com/chapters/p_alleg_staff_vols.html" TargetMode="External"/><Relationship Id="rId4" Type="http://schemas.openxmlformats.org/officeDocument/2006/relationships/settings" Target="settings.xml"/><Relationship Id="rId9" Type="http://schemas.openxmlformats.org/officeDocument/2006/relationships/hyperlink" Target="http://doncasterscb.proceduresonline.com/" TargetMode="External"/><Relationship Id="rId14" Type="http://schemas.openxmlformats.org/officeDocument/2006/relationships/hyperlink" Target="http://doncasterscb.proceduresonline.com/chapters/p_ch_pol_action.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Rackspace</Company>
  <LinksUpToDate>false</LinksUpToDate>
  <CharactersWithSpaces>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Gannon, Tom</dc:creator>
  <cp:lastModifiedBy>Tomes, Alison</cp:lastModifiedBy>
  <cp:revision>2</cp:revision>
  <dcterms:created xsi:type="dcterms:W3CDTF">2017-02-10T14:33:00Z</dcterms:created>
  <dcterms:modified xsi:type="dcterms:W3CDTF">2017-02-10T14:33:00Z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2015-08-21T00:00:00Z</vt:filetime>
  </property>
  <property fmtid="{D5CDD505-2E9C-101B-9397-08002B2CF9AE}" pid="3" name="LastSaved">
    <vt:filetime>2017-02-01T00:00:00Z</vt:filetime>
  </property>
</Properties>
</file>